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19D77">
      <w:pPr>
        <w:numPr>
          <w:ilvl w:val="0"/>
          <w:numId w:val="0"/>
        </w:numPr>
        <w:ind w:firstLine="280" w:firstLineChars="10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化学学科寒假作业（复习）   Day 4   </w:t>
      </w:r>
      <w:r>
        <w:rPr>
          <w:rFonts w:hint="eastAsia"/>
          <w:sz w:val="22"/>
          <w:szCs w:val="22"/>
          <w:lang w:val="en-US" w:eastAsia="zh-CN"/>
        </w:rPr>
        <w:t>(练习时长：40分钟)</w:t>
      </w:r>
    </w:p>
    <w:p w14:paraId="1EDF1FEF">
      <w:pPr>
        <w:numPr>
          <w:ilvl w:val="0"/>
          <w:numId w:val="0"/>
        </w:numPr>
        <w:ind w:firstLine="48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姓名：                                          完成评价：</w:t>
      </w:r>
    </w:p>
    <w:p w14:paraId="7EC37EF7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-475615</wp:posOffset>
            </wp:positionH>
            <wp:positionV relativeFrom="paragraph">
              <wp:posOffset>408305</wp:posOffset>
            </wp:positionV>
            <wp:extent cx="7572375" cy="2165985"/>
            <wp:effectExtent l="0" t="0" r="9525" b="5715"/>
            <wp:wrapTopAndBottom/>
            <wp:docPr id="1" name="图片 1" descr="a5a0a5858cc47c99f0320a31271bc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5a0a5858cc47c99f0320a31271bc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24"/>
          <w:szCs w:val="24"/>
          <w:lang w:val="en-US" w:eastAsia="zh-CN"/>
        </w:rPr>
        <w:t>核心知识的归纳总结和梳理模块</w:t>
      </w:r>
    </w:p>
    <w:p w14:paraId="2356CA06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练习模块</w:t>
      </w:r>
    </w:p>
    <w:p w14:paraId="7AFD1B7A">
      <w:pPr>
        <w:rPr>
          <w:b/>
        </w:rPr>
      </w:pPr>
      <w:r>
        <w:rPr>
          <w:rFonts w:hint="eastAsia"/>
          <w:b/>
        </w:rPr>
        <w:t>一、单选题</w:t>
      </w:r>
    </w:p>
    <w:p w14:paraId="44064F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1．</w:t>
      </w:r>
      <w:r>
        <w:rPr>
          <w:rFonts w:ascii="宋体" w:hAnsi="宋体" w:eastAsia="宋体" w:cs="宋体"/>
        </w:rPr>
        <w:t>肥田粉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硫酸铵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水溶液呈现</w:t>
      </w:r>
      <w:r>
        <w:rPr>
          <w:rFonts w:ascii="Times New Roman" w:hAnsi="Times New Roman" w:eastAsia="Times New Roman" w:cs="Times New Roman"/>
        </w:rPr>
        <w:t>(    )</w:t>
      </w:r>
    </w:p>
    <w:p w14:paraId="771BC4E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中性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t>B．</w:t>
      </w:r>
      <w:r>
        <w:rPr>
          <w:rFonts w:ascii="宋体" w:hAnsi="宋体" w:eastAsia="宋体" w:cs="宋体"/>
        </w:rPr>
        <w:t>碱性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t>C．</w:t>
      </w:r>
      <w:r>
        <w:rPr>
          <w:rFonts w:ascii="宋体" w:hAnsi="宋体" w:eastAsia="宋体" w:cs="宋体"/>
        </w:rPr>
        <w:t>酸性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t>D．</w:t>
      </w:r>
      <w:r>
        <w:rPr>
          <w:rFonts w:ascii="宋体" w:hAnsi="宋体" w:eastAsia="宋体" w:cs="宋体"/>
        </w:rPr>
        <w:t>其酸碱性与浓度有关，要实验测定</w:t>
      </w:r>
    </w:p>
    <w:p w14:paraId="15A01D1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关于氯化铁溶液，下列有关说法正确的是</w:t>
      </w:r>
    </w:p>
    <w:p w14:paraId="6D9FCA8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加水稀释能促进其水解，并提高</w:t>
      </w:r>
      <w:r>
        <w:object>
          <v:shape id="_x0000_i1089" o:spt="75" alt="eqIdfc5c4b6aa2a743eca7644bb579eea40f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7" o:title="eqIdfc5c4b6aa2a743eca7644bb579eea40f"/>
            <o:lock v:ext="edit" aspectratio="t"/>
            <w10:wrap type="none"/>
            <w10:anchorlock/>
          </v:shape>
          <o:OLEObject Type="Embed" ProgID="Equation.DSMT4" ShapeID="_x0000_i1089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</w:rPr>
        <w:t>的浓度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t>B．</w:t>
      </w:r>
      <w:r>
        <w:rPr>
          <w:rFonts w:ascii="宋体" w:hAnsi="宋体" w:eastAsia="宋体" w:cs="宋体"/>
        </w:rPr>
        <w:t>实验室用饱和的</w:t>
      </w:r>
      <w:r>
        <w:object>
          <v:shape id="_x0000_i1090" o:spt="75" alt="eqId9ea7375147974842a13f6fc81d04db3e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9" o:title="eqId9ea7375147974842a13f6fc81d04db3e"/>
            <o:lock v:ext="edit" aspectratio="t"/>
            <w10:wrap type="none"/>
            <w10:anchorlock/>
          </v:shape>
          <o:OLEObject Type="Embed" ProgID="Equation.DSMT4" ShapeID="_x0000_i1090" DrawAspect="Content" ObjectID="_1468075726" r:id="rId8">
            <o:LockedField>false</o:LockedField>
          </o:OLEObject>
        </w:object>
      </w:r>
      <w:r>
        <w:rPr>
          <w:rFonts w:ascii="宋体" w:hAnsi="宋体" w:eastAsia="宋体" w:cs="宋体"/>
        </w:rPr>
        <w:t>溶液制取氢氧化铁胶体</w:t>
      </w:r>
    </w:p>
    <w:p w14:paraId="7D04568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加少量浓盐酸能促进</w:t>
      </w:r>
      <w:r>
        <w:object>
          <v:shape id="_x0000_i1091" o:spt="75" alt="eqId9ea7375147974842a13f6fc81d04db3e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9" o:title="eqId9ea7375147974842a13f6fc81d04db3e"/>
            <o:lock v:ext="edit" aspectratio="t"/>
            <w10:wrap type="none"/>
            <w10:anchorlock/>
          </v:shape>
          <o:OLEObject Type="Embed" ProgID="Equation.DSMT4" ShapeID="_x0000_i1091" DrawAspect="Content" ObjectID="_1468075727" r:id="rId10">
            <o:LockedField>false</o:LockedField>
          </o:OLEObject>
        </w:object>
      </w:r>
      <w:r>
        <w:rPr>
          <w:rFonts w:ascii="宋体" w:hAnsi="宋体" w:eastAsia="宋体" w:cs="宋体"/>
        </w:rPr>
        <w:t>水解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t>D．</w:t>
      </w:r>
      <w:r>
        <w:rPr>
          <w:rFonts w:ascii="宋体" w:hAnsi="宋体" w:eastAsia="宋体" w:cs="宋体"/>
        </w:rPr>
        <w:t>保存氯化铁溶液时应加入少量铁粉</w:t>
      </w:r>
    </w:p>
    <w:p w14:paraId="4D99970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3．</w:t>
      </w:r>
      <w:r>
        <w:rPr>
          <w:rFonts w:ascii="宋体" w:hAnsi="宋体" w:eastAsia="宋体" w:cs="宋体"/>
        </w:rPr>
        <w:t>在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CaCO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Mg(OH)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这些物质中，溶解度不随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变化的是</w:t>
      </w:r>
      <w:r>
        <w:rPr>
          <w:rFonts w:ascii="Times New Roman" w:hAnsi="Times New Roman" w:eastAsia="Times New Roman" w:cs="Times New Roman"/>
        </w:rPr>
        <w:t>(    )</w:t>
      </w:r>
    </w:p>
    <w:p w14:paraId="065DFC2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AgCl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CaCO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 xml:space="preserve">  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 xml:space="preserve">  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Mg(OH)</w:t>
      </w:r>
      <w:r>
        <w:rPr>
          <w:rFonts w:ascii="Times New Roman" w:hAnsi="Times New Roman" w:eastAsia="Times New Roman" w:cs="Times New Roman"/>
          <w:vertAlign w:val="subscript"/>
        </w:rPr>
        <w:t>2</w:t>
      </w:r>
    </w:p>
    <w:p w14:paraId="4921CDF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4．</w:t>
      </w:r>
      <w:r>
        <w:rPr>
          <w:rFonts w:ascii="Times New Roman" w:hAnsi="Times New Roman" w:eastAsia="Times New Roman" w:cs="Times New Roman"/>
        </w:rPr>
        <w:t>25 ℃</w:t>
      </w:r>
      <w:r>
        <w:rPr>
          <w:rFonts w:ascii="宋体" w:hAnsi="宋体" w:eastAsia="宋体" w:cs="宋体"/>
        </w:rPr>
        <w:t>时，在</w:t>
      </w:r>
      <w:r>
        <w:rPr>
          <w:rFonts w:ascii="Times New Roman" w:hAnsi="Times New Roman" w:eastAsia="Times New Roman" w:cs="Times New Roman"/>
        </w:rPr>
        <w:t>0.01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的硫酸溶液中，水电离出的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浓度是</w:t>
      </w:r>
      <w:r>
        <w:rPr>
          <w:rFonts w:ascii="Times New Roman" w:hAnsi="Times New Roman" w:eastAsia="Times New Roman" w:cs="Times New Roman"/>
        </w:rPr>
        <w:t>(    )</w:t>
      </w:r>
    </w:p>
    <w:p w14:paraId="20640FAE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5×10</w:t>
      </w:r>
      <w:r>
        <w:rPr>
          <w:rFonts w:ascii="Times New Roman" w:hAnsi="Times New Roman" w:eastAsia="Times New Roman" w:cs="Times New Roman"/>
          <w:vertAlign w:val="superscript"/>
        </w:rPr>
        <w:t>-13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hint="eastAsia" w:ascii="Times New Roman" w:hAnsi="Times New Roman" w:eastAsia="宋体" w:cs="Times New Roman"/>
          <w:vertAlign w:val="superscript"/>
          <w:lang w:val="en-US" w:eastAsia="zh-CN"/>
        </w:rPr>
        <w:t xml:space="preserve">               </w:t>
      </w:r>
      <w:r>
        <w:t>B．</w:t>
      </w:r>
      <w:r>
        <w:rPr>
          <w:rFonts w:ascii="Times New Roman" w:hAnsi="Times New Roman" w:eastAsia="Times New Roman" w:cs="Times New Roman"/>
        </w:rPr>
        <w:t>0.02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hint="eastAsia" w:ascii="Times New Roman" w:hAnsi="Times New Roman" w:eastAsia="宋体" w:cs="Times New Roman"/>
          <w:vertAlign w:val="superscript"/>
          <w:lang w:val="en-US" w:eastAsia="zh-CN"/>
        </w:rPr>
        <w:t xml:space="preserve">               </w:t>
      </w:r>
      <w:r>
        <w:t>C．</w:t>
      </w:r>
      <w:r>
        <w:rPr>
          <w:rFonts w:ascii="Times New Roman" w:hAnsi="Times New Roman" w:eastAsia="Times New Roman" w:cs="Times New Roman"/>
        </w:rPr>
        <w:t>1×10</w:t>
      </w:r>
      <w:r>
        <w:rPr>
          <w:rFonts w:ascii="Times New Roman" w:hAnsi="Times New Roman" w:eastAsia="Times New Roman" w:cs="Times New Roman"/>
          <w:vertAlign w:val="superscript"/>
        </w:rPr>
        <w:t>-7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tab/>
      </w:r>
      <w:r>
        <w:rPr>
          <w:rFonts w:hint="eastAsia"/>
          <w:lang w:val="en-US" w:eastAsia="zh-CN"/>
        </w:rPr>
        <w:t xml:space="preserve">           </w:t>
      </w:r>
      <w:r>
        <w:t>D．</w:t>
      </w:r>
      <w:r>
        <w:rPr>
          <w:rFonts w:ascii="Times New Roman" w:hAnsi="Times New Roman" w:eastAsia="Times New Roman" w:cs="Times New Roman"/>
        </w:rPr>
        <w:t>1×10</w:t>
      </w:r>
      <w:r>
        <w:rPr>
          <w:rFonts w:ascii="Times New Roman" w:hAnsi="Times New Roman" w:eastAsia="Times New Roman" w:cs="Times New Roman"/>
          <w:vertAlign w:val="superscript"/>
        </w:rPr>
        <w:t>-12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</w:p>
    <w:p w14:paraId="1652B01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5．</w:t>
      </w:r>
      <w:r>
        <w:rPr>
          <w:rFonts w:ascii="宋体" w:hAnsi="宋体" w:eastAsia="宋体" w:cs="宋体"/>
        </w:rPr>
        <w:t>关于熵值</w:t>
      </w:r>
      <w:r>
        <w:rPr>
          <w:rFonts w:ascii="Times New Roman" w:hAnsi="Times New Roman" w:eastAsia="Times New Roman" w:cs="Times New Roman"/>
        </w:rPr>
        <w:t>(S)</w:t>
      </w:r>
      <w:r>
        <w:rPr>
          <w:rFonts w:ascii="宋体" w:hAnsi="宋体" w:eastAsia="宋体" w:cs="宋体"/>
        </w:rPr>
        <w:t>的叙述不正确的是</w:t>
      </w:r>
      <w:r>
        <w:rPr>
          <w:rFonts w:ascii="Times New Roman" w:hAnsi="Times New Roman" w:eastAsia="Times New Roman" w:cs="Times New Roman"/>
        </w:rPr>
        <w:t>(    )</w:t>
      </w:r>
    </w:p>
    <w:p w14:paraId="15A494A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熵值是一个物理量，只与物质种类有关，与其它因素无关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t>B．</w:t>
      </w:r>
      <w:r>
        <w:rPr>
          <w:rFonts w:ascii="宋体" w:hAnsi="宋体" w:eastAsia="宋体" w:cs="宋体"/>
        </w:rPr>
        <w:t>同一种物质，其所处的状态不同，熵值不同</w:t>
      </w:r>
    </w:p>
    <w:p w14:paraId="7834B96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不同种物质，同一状态</w:t>
      </w:r>
      <w:r>
        <w:rPr>
          <w:rFonts w:ascii="Times New Roman" w:hAnsi="Times New Roman" w:eastAsia="Times New Roman" w:cs="Times New Roman"/>
        </w:rPr>
        <w:t>(T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P)</w:t>
      </w:r>
      <w:r>
        <w:rPr>
          <w:rFonts w:ascii="宋体" w:hAnsi="宋体" w:eastAsia="宋体" w:cs="宋体"/>
        </w:rPr>
        <w:t>下，熵值不同</w:t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t>D．</w:t>
      </w:r>
      <w:r>
        <w:rPr>
          <w:rFonts w:ascii="宋体" w:hAnsi="宋体" w:eastAsia="宋体" w:cs="宋体"/>
        </w:rPr>
        <w:t>同一物质，当物质的量一定时，温度越高，熵值越大</w:t>
      </w:r>
    </w:p>
    <w:p w14:paraId="60E6702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6．</w:t>
      </w:r>
      <w:r>
        <w:rPr>
          <w:rFonts w:ascii="宋体" w:hAnsi="宋体" w:eastAsia="宋体" w:cs="宋体"/>
        </w:rPr>
        <w:t>下列数据不一定随温度升高而增大的是</w:t>
      </w:r>
      <w:r>
        <w:rPr>
          <w:rFonts w:ascii="Times New Roman" w:hAnsi="Times New Roman" w:eastAsia="Times New Roman" w:cs="Times New Roman"/>
        </w:rPr>
        <w:t>(    )</w:t>
      </w:r>
    </w:p>
    <w:p w14:paraId="74B6B859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活化分子百分数</w:t>
      </w:r>
      <w:r>
        <w:tab/>
      </w:r>
      <w:r>
        <w:t>B．</w:t>
      </w:r>
      <w:r>
        <w:rPr>
          <w:rFonts w:ascii="宋体" w:hAnsi="宋体" w:eastAsia="宋体" w:cs="宋体"/>
        </w:rPr>
        <w:t>盐类水解平衡常数</w:t>
      </w:r>
    </w:p>
    <w:p w14:paraId="631D89F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弱酸或弱碱的电离平衡常数</w:t>
      </w:r>
      <w:r>
        <w:tab/>
      </w:r>
      <w:r>
        <w:t>D．</w:t>
      </w:r>
      <w:r>
        <w:rPr>
          <w:rFonts w:ascii="宋体" w:hAnsi="宋体" w:eastAsia="宋体" w:cs="宋体"/>
        </w:rPr>
        <w:t>化学平衡常数</w:t>
      </w:r>
    </w:p>
    <w:p w14:paraId="493DE95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7．</w:t>
      </w:r>
      <w:r>
        <w:rPr>
          <w:rFonts w:ascii="Times New Roman" w:hAnsi="Times New Roman" w:eastAsia="Times New Roman" w:cs="Times New Roman"/>
        </w:rPr>
        <w:t>850K</w:t>
      </w:r>
      <w:r>
        <w:rPr>
          <w:rFonts w:ascii="宋体" w:hAnsi="宋体" w:eastAsia="宋体" w:cs="宋体"/>
        </w:rPr>
        <w:t>时，在一密闭反应器中充入一定量的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，当反应达到平衡后测得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的浓度分别为</w:t>
      </w:r>
      <w:r>
        <w:rPr>
          <w:rFonts w:ascii="Times New Roman" w:hAnsi="Times New Roman" w:eastAsia="Times New Roman" w:cs="Times New Roman"/>
        </w:rPr>
        <w:t>0.0020 mol• 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0.0025 mol• 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0.0020 mol• L</w:t>
      </w:r>
      <w:r>
        <w:rPr>
          <w:rFonts w:ascii="Times New Roman" w:hAnsi="Times New Roman" w:eastAsia="Times New Roman" w:cs="Times New Roman"/>
          <w:vertAlign w:val="superscript"/>
        </w:rPr>
        <w:t>-1.</w:t>
      </w:r>
      <w:r>
        <w:rPr>
          <w:rFonts w:ascii="宋体" w:hAnsi="宋体" w:eastAsia="宋体" w:cs="宋体"/>
        </w:rPr>
        <w:t>则该温度下反应的</w:t>
      </w:r>
      <w:r>
        <w:rPr>
          <w:rFonts w:ascii="Times New Roman" w:hAnsi="Times New Roman" w:eastAsia="Times New Roman" w:cs="Times New Roman"/>
        </w:rPr>
        <w:t>2SO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object>
          <v:shape id="_x0000_i1092" o:spt="75" alt="eqIdee0ec79c14b24b02b686873dc2b35807" type="#_x0000_t75" style="height:22.2pt;width:31.2pt;" o:ole="t" filled="f" o:preferrelative="t" stroked="f" coordsize="21600,21600">
            <v:path/>
            <v:fill on="f" focussize="0,0"/>
            <v:stroke on="f" joinstyle="miter"/>
            <v:imagedata r:id="rId12" o:title="eqIdee0ec79c14b24b02b686873dc2b35807"/>
            <o:lock v:ext="edit" aspectratio="t"/>
            <w10:wrap type="none"/>
            <w10:anchorlock/>
          </v:shape>
          <o:OLEObject Type="Embed" ProgID="Equation.DSMT4" ShapeID="_x0000_i1092" DrawAspect="Content" ObjectID="_1468075728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2SO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平衡常数为：</w:t>
      </w:r>
      <w:r>
        <w:rPr>
          <w:rFonts w:ascii="Times New Roman" w:hAnsi="Times New Roman" w:eastAsia="Times New Roman" w:cs="Times New Roman"/>
        </w:rPr>
        <w:t>(    )</w:t>
      </w:r>
    </w:p>
    <w:p w14:paraId="493EC3E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25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0.0025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40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400</w:t>
      </w:r>
    </w:p>
    <w:p w14:paraId="0510269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8．</w:t>
      </w:r>
      <w:r>
        <w:rPr>
          <w:rFonts w:ascii="宋体" w:hAnsi="宋体" w:eastAsia="宋体" w:cs="宋体"/>
        </w:rPr>
        <w:t>下列叙述与盐类水解无关的是</w:t>
      </w:r>
      <w:r>
        <w:rPr>
          <w:rFonts w:ascii="Times New Roman" w:hAnsi="Times New Roman" w:eastAsia="Times New Roman" w:cs="Times New Roman"/>
        </w:rPr>
        <w:t>(    )</w:t>
      </w:r>
    </w:p>
    <w:p w14:paraId="7E70B53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Cl</w:t>
      </w:r>
      <w:r>
        <w:rPr>
          <w:rFonts w:ascii="宋体" w:hAnsi="宋体" w:eastAsia="宋体" w:cs="宋体"/>
        </w:rPr>
        <w:t>溶液可作焊接金属的除锈剂</w:t>
      </w:r>
    </w:p>
    <w:p w14:paraId="533EE6C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实验室盛放氢氧化钠溶液的试剂瓶不能用磨口玻璃塞</w:t>
      </w:r>
    </w:p>
    <w:p w14:paraId="4F97145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泡沫灭火剂的成分是</w:t>
      </w:r>
      <w:r>
        <w:rPr>
          <w:rFonts w:ascii="Times New Roman" w:hAnsi="Times New Roman" w:eastAsia="Times New Roman" w:cs="Times New Roman"/>
        </w:rPr>
        <w:t>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粉末与</w:t>
      </w:r>
      <w:r>
        <w:rPr>
          <w:rFonts w:ascii="Times New Roman" w:hAnsi="Times New Roman" w:eastAsia="Times New Roman" w:cs="Times New Roman"/>
        </w:rPr>
        <w:t>Al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溶液</w:t>
      </w:r>
    </w:p>
    <w:p w14:paraId="6218B8DA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明矾和某些铁盐可作为絮凝剂，用于水的净化</w:t>
      </w:r>
    </w:p>
    <w:p w14:paraId="3F064B0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运用电离平衡常数判断可以发生的反应是（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）</w:t>
      </w:r>
    </w:p>
    <w:tbl>
      <w:tblPr>
        <w:tblStyle w:val="5"/>
        <w:tblW w:w="3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1"/>
        <w:gridCol w:w="2298"/>
      </w:tblGrid>
      <w:tr w14:paraId="40D0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6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6B798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酸</w:t>
            </w:r>
          </w:p>
        </w:tc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BAFE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宋体" w:hAnsi="宋体" w:eastAsia="宋体" w:cs="宋体"/>
              </w:rPr>
              <w:t>电离常数</w:t>
            </w:r>
            <w:r>
              <w:rPr>
                <w:rFonts w:ascii="Times New Roman" w:hAnsi="Times New Roman" w:eastAsia="Times New Roman" w:cs="Times New Roman"/>
              </w:rPr>
              <w:t>(25 ℃)</w:t>
            </w:r>
          </w:p>
        </w:tc>
      </w:tr>
      <w:tr w14:paraId="1FB5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96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13E7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碳酸</w:t>
            </w:r>
          </w:p>
        </w:tc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6D211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a1</w:t>
            </w:r>
            <w:r>
              <w:rPr>
                <w:rFonts w:ascii="Times New Roman" w:hAnsi="Times New Roman" w:eastAsia="Times New Roman" w:cs="Times New Roman"/>
              </w:rPr>
              <w:t>=4.3×10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-7</w:t>
            </w:r>
          </w:p>
          <w:p w14:paraId="058003E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a2</w:t>
            </w:r>
            <w:r>
              <w:rPr>
                <w:rFonts w:ascii="Times New Roman" w:hAnsi="Times New Roman" w:eastAsia="Times New Roman" w:cs="Times New Roman"/>
              </w:rPr>
              <w:t>=5. 6×10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-11</w:t>
            </w:r>
          </w:p>
        </w:tc>
      </w:tr>
      <w:tr w14:paraId="703E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B8AA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次溴酸</w:t>
            </w:r>
          </w:p>
        </w:tc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98AC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</w:t>
            </w:r>
            <w:r>
              <w:rPr>
                <w:rFonts w:ascii="Times New Roman" w:hAnsi="Times New Roman" w:eastAsia="Times New Roman" w:cs="Times New Roman"/>
              </w:rPr>
              <w:t>=2.4×10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-9</w:t>
            </w:r>
          </w:p>
        </w:tc>
      </w:tr>
    </w:tbl>
    <w:p w14:paraId="7823FFE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①</w:t>
      </w:r>
      <w:r>
        <w:rPr>
          <w:rFonts w:ascii="Times New Roman" w:hAnsi="Times New Roman" w:eastAsia="Times New Roman" w:cs="Times New Roman"/>
        </w:rPr>
        <w:t>HBrO+Na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=NaBrO+NaHCO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 xml:space="preserve">              </w:t>
      </w:r>
      <w:r>
        <w:rPr>
          <w:rFonts w:ascii="宋体" w:hAnsi="宋体" w:eastAsia="宋体" w:cs="宋体"/>
        </w:rPr>
        <w:t>②</w:t>
      </w:r>
      <w:r>
        <w:rPr>
          <w:rFonts w:ascii="Times New Roman" w:hAnsi="Times New Roman" w:eastAsia="Times New Roman" w:cs="Times New Roman"/>
        </w:rPr>
        <w:t>2HBrO+Na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=2NaBrO+H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↑</w:t>
      </w:r>
    </w:p>
    <w:p w14:paraId="42DA1CD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③</w:t>
      </w:r>
      <w:r>
        <w:rPr>
          <w:rFonts w:ascii="Times New Roman" w:hAnsi="Times New Roman" w:eastAsia="Times New Roman" w:cs="Times New Roman"/>
        </w:rPr>
        <w:t>HBrO+NaHCO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=NaBrO+H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↑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ascii="宋体" w:hAnsi="宋体" w:eastAsia="宋体" w:cs="宋体"/>
        </w:rPr>
        <w:t>④</w:t>
      </w:r>
      <w:r>
        <w:rPr>
          <w:rFonts w:ascii="Times New Roman" w:hAnsi="Times New Roman" w:eastAsia="Times New Roman" w:cs="Times New Roman"/>
        </w:rPr>
        <w:t>NaBrO+CO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O=NaHCO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+HBrO</w:t>
      </w:r>
    </w:p>
    <w:p w14:paraId="6142DA2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①③</w:t>
      </w:r>
      <w:r>
        <w:tab/>
      </w:r>
      <w:r>
        <w:t>B．</w:t>
      </w:r>
      <w:r>
        <w:rPr>
          <w:rFonts w:ascii="宋体" w:hAnsi="宋体" w:eastAsia="宋体" w:cs="宋体"/>
        </w:rPr>
        <w:t>②④</w:t>
      </w:r>
      <w:r>
        <w:tab/>
      </w:r>
      <w:r>
        <w:t>C．</w:t>
      </w:r>
      <w:r>
        <w:rPr>
          <w:rFonts w:ascii="宋体" w:hAnsi="宋体" w:eastAsia="宋体" w:cs="宋体"/>
        </w:rPr>
        <w:t>①④</w:t>
      </w:r>
      <w:r>
        <w:tab/>
      </w:r>
      <w:r>
        <w:t>D．</w:t>
      </w:r>
      <w:r>
        <w:rPr>
          <w:rFonts w:ascii="宋体" w:hAnsi="宋体" w:eastAsia="宋体" w:cs="宋体"/>
        </w:rPr>
        <w:t>②③</w:t>
      </w:r>
    </w:p>
    <w:p w14:paraId="33127AB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宋体" w:hAnsi="宋体" w:eastAsia="宋体" w:cs="宋体"/>
        </w:rPr>
        <w:t>已知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(AgCl)=1.8×10</w:t>
      </w:r>
      <w:r>
        <w:rPr>
          <w:rFonts w:ascii="Times New Roman" w:hAnsi="Times New Roman" w:eastAsia="Times New Roman" w:cs="Times New Roman"/>
          <w:vertAlign w:val="superscript"/>
        </w:rPr>
        <w:t>‒10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(AgI)=1.5×10</w:t>
      </w:r>
      <w:r>
        <w:rPr>
          <w:rFonts w:ascii="Times New Roman" w:hAnsi="Times New Roman" w:eastAsia="Times New Roman" w:cs="Times New Roman"/>
          <w:vertAlign w:val="superscript"/>
        </w:rPr>
        <w:t>‒16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)=2.0×10</w:t>
      </w:r>
      <w:r>
        <w:rPr>
          <w:rFonts w:ascii="Times New Roman" w:hAnsi="Times New Roman" w:eastAsia="Times New Roman" w:cs="Times New Roman"/>
          <w:vertAlign w:val="superscript"/>
        </w:rPr>
        <w:t>‒12</w:t>
      </w:r>
      <w:r>
        <w:rPr>
          <w:rFonts w:ascii="宋体" w:hAnsi="宋体" w:eastAsia="宋体" w:cs="宋体"/>
        </w:rPr>
        <w:t>，则下列难溶盐的饱和溶液中，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浓度大小顺序正确的是</w:t>
      </w:r>
      <w:r>
        <w:rPr>
          <w:rFonts w:ascii="Times New Roman" w:hAnsi="Times New Roman" w:eastAsia="Times New Roman" w:cs="Times New Roman"/>
        </w:rPr>
        <w:t>(    )</w:t>
      </w:r>
    </w:p>
    <w:p w14:paraId="53C472C0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</w:p>
    <w:p w14:paraId="2A35D0EE"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</w:rPr>
      </w:pPr>
      <w:r>
        <w:t>C．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AgCl</w:t>
      </w:r>
    </w:p>
    <w:p w14:paraId="703208E8">
      <w:pPr>
        <w:widowControl w:val="0"/>
        <w:numPr>
          <w:ilvl w:val="0"/>
          <w:numId w:val="0"/>
        </w:numPr>
        <w:jc w:val="both"/>
        <w:rPr>
          <w:rFonts w:hint="eastAsia"/>
          <w:b/>
        </w:rPr>
      </w:pPr>
      <w:r>
        <w:rPr>
          <w:rFonts w:hint="eastAsia"/>
          <w:b/>
        </w:rPr>
        <w:t>二、填空题</w:t>
      </w:r>
    </w:p>
    <w:p w14:paraId="3AC5D7A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 w:eastAsia="Times New Roman" w:cs="Times New Roman"/>
        </w:rPr>
        <w:t>Ⅰ.</w:t>
      </w:r>
      <w:r>
        <w:object>
          <v:shape id="_x0000_i1093" o:spt="75" alt="eqIda2977c3b533f4a4fb6c53d1351e005c3" type="#_x0000_t75" style="height:6pt;width:5.25pt;" o:ole="t" filled="f" o:preferrelative="t" stroked="f" coordsize="21600,21600">
            <v:path/>
            <v:fill on="f" focussize="0,0"/>
            <v:stroke on="f" joinstyle="miter"/>
            <v:imagedata r:id="rId14" o:title="eqIda2977c3b533f4a4fb6c53d1351e005c3"/>
            <o:lock v:ext="edit" aspectratio="t"/>
            <w10:wrap type="none"/>
            <w10:anchorlock/>
          </v:shape>
          <o:OLEObject Type="Embed" ProgID="Equation.DSMT4" ShapeID="_x0000_i1093" DrawAspect="Content" ObjectID="_1468075729" r:id="rId13">
            <o:LockedField>false</o:LockedField>
          </o:OLEObject>
        </w:object>
      </w:r>
      <w:r>
        <w:rPr>
          <w:rFonts w:ascii="宋体" w:hAnsi="宋体" w:eastAsia="宋体" w:cs="宋体"/>
        </w:rPr>
        <w:t>电离平衡常数是衡量弱电解质电离程度的量，已知如表数据</w:t>
      </w:r>
      <w:r>
        <w:object>
          <v:shape id="_x0000_i1094" o:spt="75" alt="eqId5ca105c85baa479dab3da6ea1d05cbbc" type="#_x0000_t75" style="height:18.25pt;width:34.95pt;" o:ole="t" filled="f" o:preferrelative="t" stroked="f" coordsize="21600,21600">
            <v:path/>
            <v:fill on="f" focussize="0,0"/>
            <v:stroke on="f" joinstyle="miter"/>
            <v:imagedata r:id="rId16" o:title="eqId5ca105c85baa479dab3da6ea1d05cbbc"/>
            <o:lock v:ext="edit" aspectratio="t"/>
            <w10:wrap type="none"/>
            <w10:anchorlock/>
          </v:shape>
          <o:OLEObject Type="Embed" ProgID="Equation.DSMT4" ShapeID="_x0000_i1094" DrawAspect="Content" ObjectID="_1468075730" r:id="rId15">
            <o:LockedField>false</o:LockedField>
          </o:OLEObject>
        </w:object>
      </w:r>
      <w:r>
        <w:rPr>
          <w:rFonts w:ascii="宋体" w:hAnsi="宋体" w:eastAsia="宋体" w:cs="宋体"/>
        </w:rPr>
        <w:t>：</w:t>
      </w:r>
    </w:p>
    <w:tbl>
      <w:tblPr>
        <w:tblStyle w:val="5"/>
        <w:tblW w:w="5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35"/>
        <w:gridCol w:w="3465"/>
      </w:tblGrid>
      <w:tr w14:paraId="68A9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FE82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化学式</w:t>
            </w:r>
          </w:p>
        </w:tc>
        <w:tc>
          <w:tcPr>
            <w:tcW w:w="3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45306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电离平衡常数</w:t>
            </w:r>
          </w:p>
        </w:tc>
      </w:tr>
      <w:tr w14:paraId="3DDB7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9AE7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HCN</w:t>
            </w:r>
          </w:p>
        </w:tc>
        <w:tc>
          <w:tcPr>
            <w:tcW w:w="3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0B3D8">
            <w:pPr>
              <w:spacing w:line="360" w:lineRule="auto"/>
              <w:jc w:val="left"/>
              <w:textAlignment w:val="center"/>
            </w:pPr>
            <w:r>
              <w:object>
                <v:shape id="_x0000_i1095" o:spt="75" alt="eqId34f959f838ca437abb841681a5aa9993" type="#_x0000_t75" style="height:16.1pt;width:67.15pt;" o:ole="t" filled="f" o:preferrelative="t" stroked="f" coordsize="21600,21600">
                  <v:path/>
                  <v:fill on="f" focussize="0,0"/>
                  <v:stroke on="f" joinstyle="miter"/>
                  <v:imagedata r:id="rId18" o:title="eqId34f959f838ca437abb841681a5aa9993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31" r:id="rId17">
                  <o:LockedField>false</o:LockedField>
                </o:OLEObject>
              </w:object>
            </w:r>
          </w:p>
        </w:tc>
      </w:tr>
      <w:tr w14:paraId="7BD7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38D79">
            <w:pPr>
              <w:spacing w:line="360" w:lineRule="auto"/>
              <w:jc w:val="left"/>
              <w:textAlignment w:val="center"/>
            </w:pPr>
            <w:r>
              <w:object>
                <v:shape id="_x0000_i1096" o:spt="75" alt="eqIda712b39c5f7d4d3e88f23402793fef3e" type="#_x0000_t75" style="height:18pt;width:59pt;" o:ole="t" filled="f" o:preferrelative="t" stroked="f" coordsize="21600,21600">
                  <v:path/>
                  <v:fill on="f" focussize="0,0"/>
                  <v:stroke on="f" joinstyle="miter"/>
                  <v:imagedata r:id="rId20" o:title="eqIda712b39c5f7d4d3e88f23402793fef3e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32" r:id="rId19">
                  <o:LockedField>false</o:LockedField>
                </o:OLEObject>
              </w:object>
            </w:r>
          </w:p>
        </w:tc>
        <w:tc>
          <w:tcPr>
            <w:tcW w:w="3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8C8E7">
            <w:pPr>
              <w:spacing w:line="360" w:lineRule="auto"/>
              <w:jc w:val="left"/>
              <w:textAlignment w:val="center"/>
            </w:pPr>
            <w:r>
              <w:object>
                <v:shape id="_x0000_i1097" o:spt="75" alt="eqId58aac8c2560e401b8a9d3d5421ab7339" type="#_x0000_t75" style="height:16.1pt;width:61.8pt;" o:ole="t" filled="f" o:preferrelative="t" stroked="f" coordsize="21600,21600">
                  <v:path/>
                  <v:fill on="f" focussize="0,0"/>
                  <v:stroke on="f" joinstyle="miter"/>
                  <v:imagedata r:id="rId22" o:title="eqId58aac8c2560e401b8a9d3d5421ab7339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33" r:id="rId21">
                  <o:LockedField>false</o:LockedField>
                </o:OLEObject>
              </w:object>
            </w:r>
          </w:p>
        </w:tc>
      </w:tr>
      <w:tr w14:paraId="4A25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BAF8DC">
            <w:pPr>
              <w:spacing w:line="360" w:lineRule="auto"/>
              <w:jc w:val="left"/>
              <w:textAlignment w:val="center"/>
            </w:pPr>
            <w:r>
              <w:object>
                <v:shape id="_x0000_i1098" o:spt="75" alt="eqIdc3639910800741fa9e06324a203c3281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24" o:title="eqIdc3639910800741fa9e06324a203c3281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34" r:id="rId23">
                  <o:LockedField>false</o:LockedField>
                </o:OLEObject>
              </w:object>
            </w:r>
          </w:p>
        </w:tc>
        <w:tc>
          <w:tcPr>
            <w:tcW w:w="3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749D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object>
                <v:shape id="_x0000_i1099" o:spt="75" alt="eqId31f0e76e7f2040ff8104be9f44478186" type="#_x0000_t75" style="height:18.8pt;width:67.15pt;" o:ole="t" filled="f" o:preferrelative="t" stroked="f" coordsize="21600,21600">
                  <v:path/>
                  <v:fill on="f" focussize="0,0"/>
                  <v:stroke on="f" joinstyle="miter"/>
                  <v:imagedata r:id="rId26" o:title="eqId31f0e76e7f2040ff8104be9f44478186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35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</w:rPr>
              <w:t>，</w:t>
            </w:r>
            <w:r>
              <w:object>
                <v:shape id="_x0000_i1100" o:spt="75" alt="eqIdf6cc9cf5d153408e810bb28bd8f07bf0" type="#_x0000_t75" style="height:18.8pt;width:70.95pt;" o:ole="t" filled="f" o:preferrelative="t" stroked="f" coordsize="21600,21600">
                  <v:path/>
                  <v:fill on="f" focussize="0,0"/>
                  <v:stroke on="f" joinstyle="miter"/>
                  <v:imagedata r:id="rId28" o:title="eqIdf6cc9cf5d153408e810bb28bd8f07bf0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736" r:id="rId27">
                  <o:LockedField>false</o:LockedField>
                </o:OLEObject>
              </w:object>
            </w:r>
          </w:p>
        </w:tc>
      </w:tr>
    </w:tbl>
    <w:p w14:paraId="270BC13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(1)25℃</w:t>
      </w:r>
      <w:r>
        <w:rPr>
          <w:rFonts w:ascii="宋体" w:hAnsi="宋体" w:eastAsia="宋体" w:cs="宋体"/>
        </w:rPr>
        <w:t>时，下列物质的量浓度相同的四种溶液的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由大到小的顺序为</w:t>
      </w:r>
      <w:r>
        <w:t>______</w:t>
      </w:r>
      <w:r>
        <w:rPr>
          <w:rFonts w:ascii="宋体" w:hAnsi="宋体" w:eastAsia="宋体" w:cs="宋体"/>
        </w:rPr>
        <w:t>。</w:t>
      </w:r>
      <w:r>
        <w:object>
          <v:shape id="_x0000_i1101" o:spt="75" alt="eqIdd996f15bd38249f7b7e35e6afefa8c0b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0" o:title="eqIdd996f15bd38249f7b7e35e6afefa8c0b"/>
            <o:lock v:ext="edit" aspectratio="t"/>
            <w10:wrap type="none"/>
            <w10:anchorlock/>
          </v:shape>
          <o:OLEObject Type="Embed" ProgID="Equation.DSMT4" ShapeID="_x0000_i1101" DrawAspect="Content" ObjectID="_1468075737" r:id="rId29">
            <o:LockedField>false</o:LockedField>
          </o:OLEObject>
        </w:object>
      </w:r>
      <w:r>
        <w:rPr>
          <w:rFonts w:ascii="宋体" w:hAnsi="宋体" w:eastAsia="宋体" w:cs="宋体"/>
        </w:rPr>
        <w:t>填序号</w:t>
      </w:r>
      <w:r>
        <w:object>
          <v:shape id="_x0000_i1102" o:spt="75" alt="eqId8fbdf36fcfa44dddb74ad17d601f601d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2" o:title="eqId8fbdf36fcfa44dddb74ad17d601f601d"/>
            <o:lock v:ext="edit" aspectratio="t"/>
            <w10:wrap type="none"/>
            <w10:anchorlock/>
          </v:shape>
          <o:OLEObject Type="Embed" ProgID="Equation.DSMT4" ShapeID="_x0000_i1102" DrawAspect="Content" ObjectID="_1468075738" r:id="rId31">
            <o:LockedField>false</o:LockedField>
          </o:OLEObject>
        </w:object>
      </w:r>
    </w:p>
    <w:p w14:paraId="0BFF534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object>
          <v:shape id="_x0000_i1103" o:spt="75" alt="eqId2bb4d0c6299a469481f53f10caa23a00" type="#_x0000_t75" style="height:14.5pt;width:43pt;" o:ole="t" filled="f" o:preferrelative="t" stroked="f" coordsize="21600,21600">
            <v:path/>
            <v:fill on="f" focussize="0,0"/>
            <v:stroke on="f" joinstyle="miter"/>
            <v:imagedata r:id="rId34" o:title="eqId2bb4d0c6299a469481f53f10caa23a00"/>
            <o:lock v:ext="edit" aspectratio="t"/>
            <w10:wrap type="none"/>
            <w10:anchorlock/>
          </v:shape>
          <o:OLEObject Type="Embed" ProgID="Equation.DSMT4" ShapeID="_x0000_i1103" DrawAspect="Content" ObjectID="_1468075739" r:id="rId33">
            <o:LockedField>false</o:LockedField>
          </o:OLEObject>
        </w:object>
      </w:r>
      <w:r>
        <w:rPr>
          <w:rFonts w:ascii="宋体" w:hAnsi="宋体" w:eastAsia="宋体" w:cs="宋体"/>
        </w:rPr>
        <w:t>溶液</w:t>
      </w:r>
      <w:r>
        <w:rPr>
          <w:rFonts w:ascii="Times New Roman" w:hAnsi="Times New Roman" w:eastAsia="Times New Roman" w:cs="Times New Roman"/>
        </w:rPr>
        <w:t xml:space="preserve">        </w:t>
      </w:r>
      <w:r>
        <w:object>
          <v:shape id="_x0000_i1104" o:spt="75" alt="eqId29a081898a344cd2918191081516992c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36" o:title="eqId29a081898a344cd2918191081516992c"/>
            <o:lock v:ext="edit" aspectratio="t"/>
            <w10:wrap type="none"/>
            <w10:anchorlock/>
          </v:shape>
          <o:OLEObject Type="Embed" ProgID="Equation.DSMT4" ShapeID="_x0000_i1104" DrawAspect="Content" ObjectID="_1468075740" r:id="rId35">
            <o:LockedField>false</o:LockedField>
          </o:OLEObject>
        </w:object>
      </w:r>
      <w:r>
        <w:rPr>
          <w:rFonts w:ascii="宋体" w:hAnsi="宋体" w:eastAsia="宋体" w:cs="宋体"/>
        </w:rPr>
        <w:t>溶液</w:t>
      </w:r>
      <w:r>
        <w:rPr>
          <w:rFonts w:ascii="Times New Roman" w:hAnsi="Times New Roman" w:eastAsia="Times New Roman" w:cs="Times New Roman"/>
        </w:rPr>
        <w:t xml:space="preserve">        </w:t>
      </w:r>
      <w:r>
        <w:object>
          <v:shape id="_x0000_i1105" o:spt="75" alt="eqId9133344775d043afb3cc3198d13426cd" type="#_x0000_t75" style="height:18.25pt;width:72pt;" o:ole="t" filled="f" o:preferrelative="t" stroked="f" coordsize="21600,21600">
            <v:path/>
            <v:fill on="f" focussize="0,0"/>
            <v:stroke on="f" joinstyle="miter"/>
            <v:imagedata r:id="rId38" o:title="eqId9133344775d043afb3cc3198d13426cd"/>
            <o:lock v:ext="edit" aspectratio="t"/>
            <w10:wrap type="none"/>
            <w10:anchorlock/>
          </v:shape>
          <o:OLEObject Type="Embed" ProgID="Equation.DSMT4" ShapeID="_x0000_i1105" DrawAspect="Content" ObjectID="_1468075741" r:id="rId37">
            <o:LockedField>false</o:LockedField>
          </o:OLEObject>
        </w:object>
      </w:r>
      <w:r>
        <w:rPr>
          <w:rFonts w:ascii="宋体" w:hAnsi="宋体" w:eastAsia="宋体" w:cs="宋体"/>
        </w:rPr>
        <w:t>溶液</w:t>
      </w:r>
      <w:r>
        <w:rPr>
          <w:rFonts w:ascii="Times New Roman" w:hAnsi="Times New Roman" w:eastAsia="Times New Roman" w:cs="Times New Roman"/>
        </w:rPr>
        <w:t xml:space="preserve">        </w:t>
      </w:r>
      <w:r>
        <w:object>
          <v:shape id="_x0000_i1106" o:spt="75" alt="eqId12f251ef99224f03bdb505242407aefe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40" o:title="eqId12f251ef99224f03bdb505242407aefe"/>
            <o:lock v:ext="edit" aspectratio="t"/>
            <w10:wrap type="none"/>
            <w10:anchorlock/>
          </v:shape>
          <o:OLEObject Type="Embed" ProgID="Equation.DSMT4" ShapeID="_x0000_i1106" DrawAspect="Content" ObjectID="_1468075742" r:id="rId39">
            <o:LockedField>false</o:LockedField>
          </o:OLEObject>
        </w:object>
      </w:r>
      <w:r>
        <w:rPr>
          <w:rFonts w:ascii="宋体" w:hAnsi="宋体" w:eastAsia="宋体" w:cs="宋体"/>
        </w:rPr>
        <w:t>溶液</w:t>
      </w:r>
    </w:p>
    <w:p w14:paraId="46AC2C1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(2)25℃</w:t>
      </w:r>
      <w:r>
        <w:rPr>
          <w:rFonts w:ascii="宋体" w:hAnsi="宋体" w:eastAsia="宋体" w:cs="宋体"/>
        </w:rPr>
        <w:t>时，向</w:t>
      </w:r>
      <w:r>
        <w:rPr>
          <w:rFonts w:ascii="Times New Roman" w:hAnsi="Times New Roman" w:eastAsia="Times New Roman" w:cs="Times New Roman"/>
        </w:rPr>
        <w:t>NaCN</w:t>
      </w:r>
      <w:r>
        <w:rPr>
          <w:rFonts w:ascii="宋体" w:hAnsi="宋体" w:eastAsia="宋体" w:cs="宋体"/>
        </w:rPr>
        <w:t>溶液中通入少量</w:t>
      </w:r>
      <w:r>
        <w:object>
          <v:shape id="_x0000_i1107" o:spt="75" alt="eqIde192435b06a7442096c3753c87f3ff0c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42" o:title="eqIde192435b06a7442096c3753c87f3ff0c"/>
            <o:lock v:ext="edit" aspectratio="t"/>
            <w10:wrap type="none"/>
            <w10:anchorlock/>
          </v:shape>
          <o:OLEObject Type="Embed" ProgID="Equation.DSMT4" ShapeID="_x0000_i1107" DrawAspect="Content" ObjectID="_1468075743" r:id="rId41">
            <o:LockedField>false</o:LockedField>
          </o:OLEObject>
        </w:object>
      </w:r>
      <w:r>
        <w:rPr>
          <w:rFonts w:ascii="宋体" w:hAnsi="宋体" w:eastAsia="宋体" w:cs="宋体"/>
        </w:rPr>
        <w:t>，所发生反应的化学方程式为</w:t>
      </w:r>
      <w:r>
        <w:t>______</w:t>
      </w:r>
      <w:r>
        <w:rPr>
          <w:rFonts w:ascii="宋体" w:hAnsi="宋体" w:eastAsia="宋体" w:cs="宋体"/>
        </w:rPr>
        <w:t>。</w:t>
      </w:r>
    </w:p>
    <w:p w14:paraId="7A568ED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Ⅱ.</w:t>
      </w:r>
      <w:r>
        <w:rPr>
          <w:rFonts w:ascii="宋体" w:hAnsi="宋体" w:eastAsia="宋体" w:cs="宋体"/>
        </w:rPr>
        <w:t>根据下列化合物：①</w:t>
      </w:r>
      <w:r>
        <w:rPr>
          <w:rFonts w:ascii="Times New Roman" w:hAnsi="Times New Roman" w:eastAsia="Times New Roman" w:cs="Times New Roman"/>
        </w:rPr>
        <w:t xml:space="preserve">NaOH </w:t>
      </w:r>
      <w:r>
        <w:rPr>
          <w:rFonts w:ascii="宋体" w:hAnsi="宋体" w:eastAsia="宋体" w:cs="宋体"/>
        </w:rPr>
        <w:t>②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 xml:space="preserve">4 </w:t>
      </w:r>
      <w:r>
        <w:rPr>
          <w:rFonts w:ascii="宋体" w:hAnsi="宋体" w:eastAsia="宋体" w:cs="宋体"/>
        </w:rPr>
        <w:t>③</w:t>
      </w:r>
      <w:r>
        <w:rPr>
          <w:rFonts w:ascii="Times New Roman" w:hAnsi="Times New Roman" w:eastAsia="Times New Roman" w:cs="Times New Roman"/>
        </w:rPr>
        <w:t>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 xml:space="preserve">COOH </w:t>
      </w:r>
      <w:r>
        <w:rPr>
          <w:rFonts w:ascii="宋体" w:hAnsi="宋体" w:eastAsia="宋体" w:cs="宋体"/>
        </w:rPr>
        <w:t>④</w:t>
      </w:r>
      <w:r>
        <w:rPr>
          <w:rFonts w:ascii="Times New Roman" w:hAnsi="Times New Roman" w:eastAsia="Times New Roman" w:cs="Times New Roman"/>
        </w:rPr>
        <w:t xml:space="preserve">NaCl </w:t>
      </w:r>
      <w:r>
        <w:rPr>
          <w:rFonts w:ascii="宋体" w:hAnsi="宋体" w:eastAsia="宋体" w:cs="宋体"/>
        </w:rPr>
        <w:t>⑤</w:t>
      </w:r>
      <w:r>
        <w:rPr>
          <w:rFonts w:ascii="Times New Roman" w:hAnsi="Times New Roman" w:eastAsia="Times New Roman" w:cs="Times New Roman"/>
        </w:rPr>
        <w:t>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 xml:space="preserve">COONa </w:t>
      </w:r>
      <w:r>
        <w:rPr>
          <w:rFonts w:ascii="宋体" w:hAnsi="宋体" w:eastAsia="宋体" w:cs="宋体"/>
        </w:rPr>
        <w:t>⑥</w:t>
      </w:r>
      <w:r>
        <w:rPr>
          <w:rFonts w:ascii="Times New Roman" w:hAnsi="Times New Roman" w:eastAsia="Times New Roman" w:cs="Times New Roman"/>
        </w:rPr>
        <w:t>(NH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 xml:space="preserve">4 </w:t>
      </w:r>
      <w:r>
        <w:rPr>
          <w:rFonts w:ascii="宋体" w:hAnsi="宋体" w:eastAsia="宋体" w:cs="宋体"/>
        </w:rPr>
        <w:t>⑦</w:t>
      </w:r>
      <w:r>
        <w:rPr>
          <w:rFonts w:ascii="Times New Roman" w:hAnsi="Times New Roman" w:eastAsia="Times New Roman" w:cs="Times New Roman"/>
        </w:rPr>
        <w:t>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COONH</w:t>
      </w:r>
      <w:r>
        <w:rPr>
          <w:rFonts w:ascii="Times New Roman" w:hAnsi="Times New Roman" w:eastAsia="Times New Roman" w:cs="Times New Roman"/>
          <w:vertAlign w:val="subscript"/>
        </w:rPr>
        <w:t xml:space="preserve">4 </w:t>
      </w:r>
      <w:r>
        <w:rPr>
          <w:rFonts w:ascii="宋体" w:hAnsi="宋体" w:eastAsia="宋体" w:cs="宋体"/>
        </w:rPr>
        <w:t>⑧</w:t>
      </w:r>
      <w:r>
        <w:rPr>
          <w:rFonts w:ascii="Times New Roman" w:hAnsi="Times New Roman" w:eastAsia="Times New Roman" w:cs="Times New Roman"/>
        </w:rPr>
        <w:t>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HSO</w:t>
      </w:r>
      <w:r>
        <w:rPr>
          <w:rFonts w:ascii="Times New Roman" w:hAnsi="Times New Roman" w:eastAsia="Times New Roman" w:cs="Times New Roman"/>
          <w:vertAlign w:val="subscript"/>
        </w:rPr>
        <w:t xml:space="preserve">4 </w:t>
      </w:r>
      <w:r>
        <w:rPr>
          <w:rFonts w:ascii="宋体" w:hAnsi="宋体" w:eastAsia="宋体" w:cs="宋体"/>
        </w:rPr>
        <w:t>⑨</w:t>
      </w:r>
      <w:r>
        <w:rPr>
          <w:rFonts w:ascii="Times New Roman" w:hAnsi="Times New Roman" w:eastAsia="Times New Roman" w:cs="Times New Roman"/>
        </w:rPr>
        <w:t>NH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·H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O </w:t>
      </w:r>
      <w:r>
        <w:rPr>
          <w:rFonts w:ascii="宋体" w:hAnsi="宋体" w:eastAsia="宋体" w:cs="宋体"/>
        </w:rPr>
        <w:t>⑩</w:t>
      </w:r>
      <w:r>
        <w:rPr>
          <w:rFonts w:ascii="Times New Roman" w:hAnsi="Times New Roman" w:eastAsia="Times New Roman" w:cs="Times New Roman"/>
        </w:rPr>
        <w:t>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Cl</w:t>
      </w:r>
      <w:r>
        <w:rPr>
          <w:rFonts w:ascii="宋体" w:hAnsi="宋体" w:eastAsia="宋体" w:cs="宋体"/>
        </w:rPr>
        <w:t>，请回答下列问题：</w:t>
      </w:r>
    </w:p>
    <w:p w14:paraId="12D0C78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常温下，若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均为</w:t>
      </w:r>
      <w:r>
        <w:rPr>
          <w:rFonts w:ascii="Times New Roman" w:hAnsi="Times New Roman" w:eastAsia="Times New Roman" w:cs="Times New Roman"/>
        </w:rPr>
        <w:t>11</w:t>
      </w:r>
      <w:r>
        <w:rPr>
          <w:rFonts w:ascii="宋体" w:hAnsi="宋体" w:eastAsia="宋体" w:cs="宋体"/>
        </w:rPr>
        <w:t>且等体积的</w:t>
      </w:r>
      <w:r>
        <w:rPr>
          <w:rFonts w:ascii="Times New Roman" w:hAnsi="Times New Roman" w:eastAsia="Times New Roman" w:cs="Times New Roman"/>
        </w:rPr>
        <w:t>NaOH</w:t>
      </w:r>
      <w:r>
        <w:rPr>
          <w:rFonts w:ascii="宋体" w:hAnsi="宋体" w:eastAsia="宋体" w:cs="宋体"/>
        </w:rPr>
        <w:t>和</w:t>
      </w:r>
      <w:r>
        <w:object>
          <v:shape id="_x0000_i1108" o:spt="75" alt="eqId1f726f66887848eb925a2613e901a9b8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4" o:title="eqId1f726f66887848eb925a2613e901a9b8"/>
            <o:lock v:ext="edit" aspectratio="t"/>
            <w10:wrap type="none"/>
            <w10:anchorlock/>
          </v:shape>
          <o:OLEObject Type="Embed" ProgID="Equation.DSMT4" ShapeID="_x0000_i1108" DrawAspect="Content" ObjectID="_1468075744" r:id="rId43">
            <o:LockedField>false</o:LockedField>
          </o:OLEObject>
        </w:object>
      </w:r>
      <w:r>
        <w:rPr>
          <w:rFonts w:ascii="宋体" w:hAnsi="宋体" w:eastAsia="宋体" w:cs="宋体"/>
        </w:rPr>
        <w:t>分别加水稀释</w:t>
      </w:r>
      <w:r>
        <w:rPr>
          <w:rFonts w:ascii="Times New Roman" w:hAnsi="Times New Roman" w:eastAsia="Times New Roman" w:cs="Times New Roman"/>
        </w:rPr>
        <w:t>m</w:t>
      </w:r>
      <w:r>
        <w:rPr>
          <w:rFonts w:ascii="宋体" w:hAnsi="宋体" w:eastAsia="宋体" w:cs="宋体"/>
        </w:rPr>
        <w:t>倍、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宋体" w:hAnsi="宋体" w:eastAsia="宋体" w:cs="宋体"/>
        </w:rPr>
        <w:t>倍，稀释后两种溶液的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都变成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>m</w:t>
      </w:r>
      <w:r>
        <w:t>______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宋体" w:hAnsi="宋体" w:eastAsia="宋体" w:cs="宋体"/>
        </w:rPr>
        <w:t>。</w:t>
      </w:r>
      <w:r>
        <w:object>
          <v:shape id="_x0000_i1109" o:spt="75" alt="eqIdd996f15bd38249f7b7e35e6afefa8c0b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0" o:title="eqIdd996f15bd38249f7b7e35e6afefa8c0b"/>
            <o:lock v:ext="edit" aspectratio="t"/>
            <w10:wrap type="none"/>
            <w10:anchorlock/>
          </v:shape>
          <o:OLEObject Type="Embed" ProgID="Equation.DSMT4" ShapeID="_x0000_i1109" DrawAspect="Content" ObjectID="_1468075745" r:id="rId45">
            <o:LockedField>false</o:LockedField>
          </o:OLEObject>
        </w:objec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object>
          <v:shape id="_x0000_i1110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47" o:title="eqId1f2c92dfd3d8438ca50bd7b1c0ed8a80"/>
            <o:lock v:ext="edit" aspectratio="t"/>
            <w10:wrap type="none"/>
            <w10:anchorlock/>
          </v:shape>
          <o:OLEObject Type="Embed" ProgID="Equation.DSMT4" ShapeID="_x0000_i1110" DrawAspect="Content" ObjectID="_1468075746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”</w:t>
      </w:r>
      <w:r>
        <w:object>
          <v:shape id="_x0000_i1111" o:spt="75" alt="eqId8fbdf36fcfa44dddb74ad17d601f601d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2" o:title="eqId8fbdf36fcfa44dddb74ad17d601f601d"/>
            <o:lock v:ext="edit" aspectratio="t"/>
            <w10:wrap type="none"/>
            <w10:anchorlock/>
          </v:shape>
          <o:OLEObject Type="Embed" ProgID="Equation.DSMT4" ShapeID="_x0000_i1111" DrawAspect="Content" ObjectID="_1468075747" r:id="rId48">
            <o:LockedField>false</o:LockedField>
          </o:OLEObject>
        </w:object>
      </w:r>
    </w:p>
    <w:p w14:paraId="36D846D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已知水存在如下平衡：</w:t>
      </w:r>
      <w:r>
        <w:object>
          <v:shape id="_x0000_i1112" o:spt="75" alt="eqIdbf634e0ab3cb4cc0aa14d618a19d891d" type="#_x0000_t75" style="height:18.8pt;width:127.9pt;" o:ole="t" filled="f" o:preferrelative="t" stroked="f" coordsize="21600,21600">
            <v:path/>
            <v:fill on="f" focussize="0,0"/>
            <v:stroke on="f" joinstyle="miter"/>
            <v:imagedata r:id="rId50" o:title="eqIdbf634e0ab3cb4cc0aa14d618a19d891d"/>
            <o:lock v:ext="edit" aspectratio="t"/>
            <w10:wrap type="none"/>
            <w10:anchorlock/>
          </v:shape>
          <o:OLEObject Type="Embed" ProgID="Equation.DSMT4" ShapeID="_x0000_i1112" DrawAspect="Content" ObjectID="_1468075748" r:id="rId49">
            <o:LockedField>false</o:LockedField>
          </o:OLEObject>
        </w:object>
      </w:r>
      <w:r>
        <w:rPr>
          <w:rFonts w:ascii="宋体" w:hAnsi="宋体" w:eastAsia="宋体" w:cs="宋体"/>
        </w:rPr>
        <w:t>，现欲使平衡向右移动，且所得溶液显酸性，选择的下列方法是</w:t>
      </w:r>
      <w:r>
        <w:t>______</w:t>
      </w:r>
      <w:r>
        <w:rPr>
          <w:rFonts w:ascii="宋体" w:hAnsi="宋体" w:eastAsia="宋体" w:cs="宋体"/>
        </w:rPr>
        <w:t>。</w:t>
      </w:r>
    </w:p>
    <w:p w14:paraId="4CD03B3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A．</w:t>
      </w:r>
      <w:r>
        <w:rPr>
          <w:rFonts w:ascii="宋体" w:hAnsi="宋体" w:eastAsia="宋体" w:cs="宋体"/>
        </w:rPr>
        <w:t>向水中加入</w:t>
      </w:r>
      <w:r>
        <w:object>
          <v:shape id="_x0000_i1113" o:spt="75" alt="eqId63f441e9ced04846b1132ed551447daf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52" o:title="eqId63f441e9ced04846b1132ed551447daf"/>
            <o:lock v:ext="edit" aspectratio="t"/>
            <w10:wrap type="none"/>
            <w10:anchorlock/>
          </v:shape>
          <o:OLEObject Type="Embed" ProgID="Equation.DSMT4" ShapeID="_x0000_i1113" DrawAspect="Content" ObjectID="_1468075749" r:id="rId51">
            <o:LockedField>false</o:LockedField>
          </o:OLEObject>
        </w:object>
      </w:r>
      <w:r>
        <w:rPr>
          <w:rFonts w:ascii="宋体" w:hAnsi="宋体" w:eastAsia="宋体" w:cs="宋体"/>
        </w:rPr>
        <w:t>固体</w:t>
      </w:r>
      <w:r>
        <w:rPr>
          <w:rFonts w:hint="eastAsia" w:ascii="宋体" w:hAnsi="宋体" w:cs="宋体"/>
          <w:lang w:val="en-US" w:eastAsia="zh-CN"/>
        </w:rPr>
        <w:t xml:space="preserve">                 </w:t>
      </w:r>
      <w:r>
        <w:rPr>
          <w:rFonts w:ascii="Times New Roman" w:hAnsi="Times New Roman" w:eastAsia="Times New Roman" w:cs="Times New Roman"/>
        </w:rPr>
        <w:t>B．</w:t>
      </w:r>
      <w:r>
        <w:rPr>
          <w:rFonts w:ascii="宋体" w:hAnsi="宋体" w:eastAsia="宋体" w:cs="宋体"/>
        </w:rPr>
        <w:t>向水中加</w:t>
      </w:r>
      <w:r>
        <w:object>
          <v:shape id="_x0000_i1114" o:spt="75" alt="eqId2e6998a2f6c641319a993cfff03f5eaf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4" o:title="eqId2e6998a2f6c641319a993cfff03f5eaf"/>
            <o:lock v:ext="edit" aspectratio="t"/>
            <w10:wrap type="none"/>
            <w10:anchorlock/>
          </v:shape>
          <o:OLEObject Type="Embed" ProgID="Equation.DSMT4" ShapeID="_x0000_i1114" DrawAspect="Content" ObjectID="_1468075750" r:id="rId53">
            <o:LockedField>false</o:LockedField>
          </o:OLEObject>
        </w:object>
      </w:r>
      <w:r>
        <w:rPr>
          <w:rFonts w:ascii="宋体" w:hAnsi="宋体" w:eastAsia="宋体" w:cs="宋体"/>
        </w:rPr>
        <w:t>固体</w:t>
      </w:r>
    </w:p>
    <w:p w14:paraId="29D5817F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C．</w:t>
      </w:r>
      <w:r>
        <w:rPr>
          <w:rFonts w:ascii="宋体" w:hAnsi="宋体" w:eastAsia="宋体" w:cs="宋体"/>
        </w:rPr>
        <w:t>加热至</w:t>
      </w:r>
      <w:r>
        <w:rPr>
          <w:rFonts w:ascii="Times New Roman" w:hAnsi="Times New Roman" w:eastAsia="Times New Roman" w:cs="Times New Roman"/>
        </w:rPr>
        <w:t>100℃[</w:t>
      </w:r>
      <w:r>
        <w:rPr>
          <w:rFonts w:ascii="宋体" w:hAnsi="宋体" w:eastAsia="宋体" w:cs="宋体"/>
        </w:rPr>
        <w:t>其中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(H</w:t>
      </w:r>
      <w:r>
        <w:rPr>
          <w:rFonts w:ascii="Times New Roman" w:hAnsi="Times New Roman" w:eastAsia="Times New Roman" w:cs="Times New Roman"/>
          <w:vertAlign w:val="superscript"/>
        </w:rPr>
        <w:t>+</w:t>
      </w:r>
      <w:r>
        <w:rPr>
          <w:rFonts w:ascii="Times New Roman" w:hAnsi="Times New Roman" w:eastAsia="Times New Roman" w:cs="Times New Roman"/>
        </w:rPr>
        <w:t>)=1×10</w:t>
      </w:r>
      <w:r>
        <w:rPr>
          <w:rFonts w:ascii="Times New Roman" w:hAnsi="Times New Roman" w:eastAsia="Times New Roman" w:cs="Times New Roman"/>
          <w:vertAlign w:val="superscript"/>
        </w:rPr>
        <w:t>-6</w:t>
      </w:r>
      <w:r>
        <w:rPr>
          <w:rFonts w:ascii="Times New Roman" w:hAnsi="Times New Roman" w:eastAsia="Times New Roman" w:cs="Times New Roman"/>
        </w:rPr>
        <w:t>mol/L]</w:t>
      </w:r>
      <w:r>
        <w:rPr>
          <w:rFonts w:hint="eastAsia" w:cs="Times New Roman"/>
          <w:lang w:val="en-US" w:eastAsia="zh-CN"/>
        </w:rPr>
        <w:t xml:space="preserve">       </w:t>
      </w:r>
      <w:r>
        <w:rPr>
          <w:rFonts w:ascii="Times New Roman" w:hAnsi="Times New Roman" w:eastAsia="Times New Roman" w:cs="Times New Roman"/>
        </w:rPr>
        <w:t>D．</w:t>
      </w:r>
      <w:r>
        <w:rPr>
          <w:rFonts w:ascii="宋体" w:hAnsi="宋体" w:eastAsia="宋体" w:cs="宋体"/>
        </w:rPr>
        <w:t>向水中加入</w:t>
      </w:r>
      <w:r>
        <w:object>
          <v:shape id="_x0000_i1115" o:spt="75" alt="eqId851cf32b9e8f41d29fde1b82da75ca92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56" o:title="eqId851cf32b9e8f41d29fde1b82da75ca92"/>
            <o:lock v:ext="edit" aspectratio="t"/>
            <w10:wrap type="none"/>
            <w10:anchorlock/>
          </v:shape>
          <o:OLEObject Type="Embed" ProgID="Equation.DSMT4" ShapeID="_x0000_i1115" DrawAspect="Content" ObjectID="_1468075751" r:id="rId55">
            <o:LockedField>false</o:LockedField>
          </o:OLEObject>
        </w:object>
      </w:r>
      <w:r>
        <w:rPr>
          <w:rFonts w:ascii="宋体" w:hAnsi="宋体" w:eastAsia="宋体" w:cs="宋体"/>
        </w:rPr>
        <w:t>固体</w:t>
      </w:r>
    </w:p>
    <w:p w14:paraId="08F9EF3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物质的量浓度相同的①、②、③、④、⑤、⑥六种稀溶液中，水电离的</w:t>
      </w:r>
      <w:r>
        <w:object>
          <v:shape id="_x0000_i1116" o:spt="75" alt="eqIdbb03b74f08b9427abe04046dddbe3489" type="#_x0000_t75" style="height:13.9pt;width:28.3pt;" o:ole="t" filled="f" o:preferrelative="t" stroked="f" coordsize="21600,21600">
            <v:path/>
            <v:fill on="f" focussize="0,0"/>
            <v:stroke on="f" joinstyle="miter"/>
            <v:imagedata r:id="rId58" o:title="eqIdbb03b74f08b9427abe04046dddbe3489"/>
            <o:lock v:ext="edit" aspectratio="t"/>
            <w10:wrap type="none"/>
            <w10:anchorlock/>
          </v:shape>
          <o:OLEObject Type="Embed" ProgID="Equation.DSMT4" ShapeID="_x0000_i1116" DrawAspect="Content" ObjectID="_1468075752" r:id="rId57">
            <o:LockedField>false</o:LockedField>
          </o:OLEObject>
        </w:object>
      </w:r>
      <w:r>
        <w:rPr>
          <w:rFonts w:ascii="宋体" w:hAnsi="宋体" w:eastAsia="宋体" w:cs="宋体"/>
        </w:rPr>
        <w:t>浓度由大到小的顺序为</w:t>
      </w:r>
      <w:r>
        <w:t>______</w:t>
      </w:r>
      <w:r>
        <w:rPr>
          <w:rFonts w:ascii="宋体" w:hAnsi="宋体" w:eastAsia="宋体" w:cs="宋体"/>
        </w:rPr>
        <w:t>。</w:t>
      </w:r>
      <w:r>
        <w:object>
          <v:shape id="_x0000_i1117" o:spt="75" alt="eqIdd996f15bd38249f7b7e35e6afefa8c0b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0" o:title="eqIdd996f15bd38249f7b7e35e6afefa8c0b"/>
            <o:lock v:ext="edit" aspectratio="t"/>
            <w10:wrap type="none"/>
            <w10:anchorlock/>
          </v:shape>
          <o:OLEObject Type="Embed" ProgID="Equation.DSMT4" ShapeID="_x0000_i1117" DrawAspect="Content" ObjectID="_1468075753" r:id="rId59">
            <o:LockedField>false</o:LockedField>
          </o:OLEObject>
        </w:object>
      </w:r>
      <w:r>
        <w:rPr>
          <w:rFonts w:ascii="宋体" w:hAnsi="宋体" w:eastAsia="宋体" w:cs="宋体"/>
        </w:rPr>
        <w:t>填序号</w:t>
      </w:r>
      <w:r>
        <w:object>
          <v:shape id="_x0000_i1118" o:spt="75" alt="eqId8fbdf36fcfa44dddb74ad17d601f601d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32" o:title="eqId8fbdf36fcfa44dddb74ad17d601f601d"/>
            <o:lock v:ext="edit" aspectratio="t"/>
            <w10:wrap type="none"/>
            <w10:anchorlock/>
          </v:shape>
          <o:OLEObject Type="Embed" ProgID="Equation.DSMT4" ShapeID="_x0000_i1118" DrawAspect="Content" ObjectID="_1468075754" r:id="rId60">
            <o:LockedField>false</o:LockedField>
          </o:OLEObject>
        </w:object>
      </w:r>
    </w:p>
    <w:p w14:paraId="196CEA8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①一定温度下，在密闭容器中充入</w:t>
      </w:r>
      <w:r>
        <w:rPr>
          <w:rFonts w:ascii="Times New Roman" w:hAnsi="Times New Roman" w:eastAsia="Times New Roman" w:cs="Times New Roman"/>
        </w:rPr>
        <w:t xml:space="preserve"> 1molN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 xml:space="preserve"> 3molH</w:t>
      </w:r>
      <w:r>
        <w:rPr>
          <w:rFonts w:ascii="Times New Roman" w:hAnsi="Times New Roman" w:eastAsia="Times New Roman" w:cs="Times New Roman"/>
          <w:vertAlign w:val="subscript"/>
        </w:rPr>
        <w:t xml:space="preserve">2 </w:t>
      </w:r>
      <w:r>
        <w:rPr>
          <w:rFonts w:ascii="宋体" w:hAnsi="宋体" w:eastAsia="宋体" w:cs="宋体"/>
        </w:rPr>
        <w:t>发生反应：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(g)+3H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object>
          <v:shape id="_x0000_i1119" o:spt="75" alt="eqId971e340f0a734d76ac7cd513c70dc03d" type="#_x0000_t75" style="height:13.95pt;width:17.75pt;" o:ole="t" filled="f" o:preferrelative="t" stroked="f" coordsize="21600,21600">
            <v:path/>
            <v:fill on="f" focussize="0,0"/>
            <v:stroke on="f" joinstyle="miter"/>
            <v:imagedata r:id="rId62" o:title="eqId971e340f0a734d76ac7cd513c70dc03d"/>
            <o:lock v:ext="edit" aspectratio="t"/>
            <w10:wrap type="none"/>
            <w10:anchorlock/>
          </v:shape>
          <o:OLEObject Type="Embed" ProgID="Equation.DSMT4" ShapeID="_x0000_i1119" DrawAspect="Content" ObjectID="_1468075755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2NH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 xml:space="preserve">&lt;0 </w:t>
      </w:r>
      <w:r>
        <w:rPr>
          <w:rFonts w:ascii="宋体" w:hAnsi="宋体" w:eastAsia="宋体" w:cs="宋体"/>
        </w:rPr>
        <w:t>。若容器容积恒定，达到平衡状态时，气体的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总物质的量是原来的</w:t>
      </w:r>
      <w:r>
        <w:rPr>
          <w:rFonts w:ascii="Times New Roman" w:hAnsi="Times New Roman" w:eastAsia="Times New Roman" w:cs="Times New Roman"/>
        </w:rPr>
        <w:t xml:space="preserve"> 7/10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的转化率</w:t>
      </w:r>
      <w:r>
        <w:rPr>
          <w:rFonts w:ascii="Times New Roman" w:hAnsi="Times New Roman" w:eastAsia="Times New Roman" w:cs="Times New Roman"/>
        </w:rPr>
        <w:t xml:space="preserve"> 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=</w:t>
      </w:r>
      <w:r>
        <w:t>_____</w:t>
      </w:r>
      <w:r>
        <w:rPr>
          <w:rFonts w:ascii="宋体" w:hAnsi="宋体" w:eastAsia="宋体" w:cs="宋体"/>
        </w:rPr>
        <w:t>；</w:t>
      </w:r>
    </w:p>
    <w:p w14:paraId="13BA38C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②若向该容器中再加入</w:t>
      </w:r>
      <w:r>
        <w:rPr>
          <w:rFonts w:ascii="Times New Roman" w:hAnsi="Times New Roman" w:eastAsia="Times New Roman" w:cs="Times New Roman"/>
        </w:rPr>
        <w:t xml:space="preserve"> 1molN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 xml:space="preserve"> 3molH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，达到平衡状态时，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的转化率为</w:t>
      </w:r>
      <w:r>
        <w:rPr>
          <w:rFonts w:ascii="Times New Roman" w:hAnsi="Times New Roman" w:eastAsia="Times New Roman" w:cs="Times New Roman"/>
        </w:rPr>
        <w:t xml:space="preserve"> 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t>_____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“&gt;”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“&lt;”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“=”)</w:t>
      </w:r>
      <w:r>
        <w:rPr>
          <w:rFonts w:ascii="宋体" w:hAnsi="宋体" w:eastAsia="宋体" w:cs="宋体"/>
        </w:rPr>
        <w:t>。</w:t>
      </w:r>
    </w:p>
    <w:p w14:paraId="203A6CDF"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4888865</wp:posOffset>
            </wp:positionH>
            <wp:positionV relativeFrom="paragraph">
              <wp:posOffset>387985</wp:posOffset>
            </wp:positionV>
            <wp:extent cx="1617980" cy="1266190"/>
            <wp:effectExtent l="0" t="0" r="1270" b="10160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对于反应</w:t>
      </w:r>
      <w:r>
        <w:rPr>
          <w:rFonts w:ascii="Times New Roman" w:hAnsi="Times New Roman" w:eastAsia="Times New Roman" w:cs="Times New Roman"/>
        </w:rPr>
        <w:t xml:space="preserve"> 2NO(g)+O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object>
          <v:shape id="_x0000_i1120" o:spt="75" alt="eqId971e340f0a734d76ac7cd513c70dc03d" type="#_x0000_t75" style="height:13.95pt;width:17.75pt;" o:ole="t" filled="f" o:preferrelative="t" stroked="f" coordsize="21600,21600">
            <v:path/>
            <v:fill on="f" focussize="0,0"/>
            <v:stroke on="f" joinstyle="miter"/>
            <v:imagedata r:id="rId62" o:title="eqId971e340f0a734d76ac7cd513c70dc03d"/>
            <o:lock v:ext="edit" aspectratio="t"/>
            <w10:wrap type="none"/>
            <w10:anchorlock/>
          </v:shape>
          <o:OLEObject Type="Embed" ProgID="Equation.DSMT4" ShapeID="_x0000_i1120" DrawAspect="Content" ObjectID="_1468075756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2NO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rPr>
          <w:rFonts w:ascii="宋体" w:hAnsi="宋体" w:eastAsia="宋体" w:cs="宋体"/>
        </w:rPr>
        <w:t>。在其他条件相同时，分别测得</w:t>
      </w:r>
      <w:r>
        <w:rPr>
          <w:rFonts w:ascii="Times New Roman" w:hAnsi="Times New Roman" w:eastAsia="Times New Roman" w:cs="Times New Roman"/>
        </w:rPr>
        <w:t xml:space="preserve"> NO </w:t>
      </w:r>
      <w:r>
        <w:rPr>
          <w:rFonts w:ascii="宋体" w:hAnsi="宋体" w:eastAsia="宋体" w:cs="宋体"/>
        </w:rPr>
        <w:t>的平衡转化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率在不同压强</w:t>
      </w:r>
      <w:r>
        <w:rPr>
          <w:rFonts w:ascii="Times New Roman" w:hAnsi="Times New Roman" w:eastAsia="Times New Roman" w:cs="Times New Roman"/>
        </w:rPr>
        <w:t>(P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下温度变化的曲线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如图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</w:t>
      </w:r>
    </w:p>
    <w:p w14:paraId="3D97338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①比较</w:t>
      </w:r>
      <w:r>
        <w:rPr>
          <w:rFonts w:ascii="Times New Roman" w:hAnsi="Times New Roman" w:eastAsia="Times New Roman" w:cs="Times New Roman"/>
        </w:rPr>
        <w:t xml:space="preserve"> 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 xml:space="preserve">2 </w:t>
      </w:r>
      <w:r>
        <w:rPr>
          <w:rFonts w:ascii="宋体" w:hAnsi="宋体" w:eastAsia="宋体" w:cs="宋体"/>
        </w:rPr>
        <w:t>的大小关系：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t>_____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“&gt;”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“&lt;”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“=”)</w:t>
      </w:r>
      <w:r>
        <w:rPr>
          <w:rFonts w:ascii="宋体" w:hAnsi="宋体" w:eastAsia="宋体" w:cs="宋体"/>
        </w:rPr>
        <w:t>。</w:t>
      </w:r>
    </w:p>
    <w:p w14:paraId="547E3C4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②该反应的平衡常数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的表达式为</w:t>
      </w:r>
      <w:r>
        <w:t>_____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，随温度升高，该反应平衡常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数变化的趋势是</w:t>
      </w:r>
      <w:r>
        <w:t>_____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增大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减小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不变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0CF9458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③下列措施中能够同时满足增大反应速率和提高</w:t>
      </w:r>
      <w:r>
        <w:rPr>
          <w:rFonts w:ascii="Times New Roman" w:hAnsi="Times New Roman" w:eastAsia="Times New Roman" w:cs="Times New Roman"/>
        </w:rPr>
        <w:t xml:space="preserve"> NO </w:t>
      </w:r>
      <w:r>
        <w:rPr>
          <w:rFonts w:ascii="宋体" w:hAnsi="宋体" w:eastAsia="宋体" w:cs="宋体"/>
        </w:rPr>
        <w:t>转化率的是</w:t>
      </w:r>
      <w:r>
        <w:t>_____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填写相应字母</w:t>
      </w:r>
      <w:r>
        <w:rPr>
          <w:rFonts w:ascii="Times New Roman" w:hAnsi="Times New Roman" w:eastAsia="Times New Roman" w:cs="Times New Roman"/>
        </w:rPr>
        <w:t>)</w:t>
      </w:r>
    </w:p>
    <w:p w14:paraId="03BA454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．使用高效催化剂</w:t>
      </w:r>
      <w:r>
        <w:rPr>
          <w:rFonts w:ascii="Times New Roman" w:hAnsi="Times New Roman" w:eastAsia="Times New Roman" w:cs="Times New Roman"/>
        </w:rPr>
        <w:t xml:space="preserve">    B</w:t>
      </w:r>
      <w:r>
        <w:rPr>
          <w:rFonts w:ascii="宋体" w:hAnsi="宋体" w:eastAsia="宋体" w:cs="宋体"/>
        </w:rPr>
        <w:t>．保持容器体积不变加入惰性气体</w:t>
      </w:r>
      <w:r>
        <w:rPr>
          <w:rFonts w:ascii="Times New Roman" w:hAnsi="Times New Roman" w:eastAsia="Times New Roman" w:cs="Times New Roman"/>
        </w:rPr>
        <w:t xml:space="preserve">  C</w:t>
      </w:r>
      <w:r>
        <w:rPr>
          <w:rFonts w:ascii="宋体" w:hAnsi="宋体" w:eastAsia="宋体" w:cs="宋体"/>
        </w:rPr>
        <w:t>．保持容器体积不变加入</w:t>
      </w:r>
      <w:r>
        <w:rPr>
          <w:rFonts w:ascii="Times New Roman" w:hAnsi="Times New Roman" w:eastAsia="Times New Roman" w:cs="Times New Roman"/>
        </w:rPr>
        <w:t xml:space="preserve"> 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 D</w:t>
      </w:r>
      <w:r>
        <w:rPr>
          <w:rFonts w:ascii="宋体" w:hAnsi="宋体" w:eastAsia="宋体" w:cs="宋体"/>
        </w:rPr>
        <w:t>．降低温度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宋体" w:hAnsi="宋体" w:eastAsia="宋体" w:cs="宋体"/>
        </w:rPr>
        <w:t>．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压缩容器体积</w:t>
      </w:r>
    </w:p>
    <w:p w14:paraId="054DC2B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硝酸厂常用催化还原法处理尾气：催化剂存在时用</w:t>
      </w:r>
      <w:r>
        <w:rPr>
          <w:rFonts w:ascii="Times New Roman" w:hAnsi="Times New Roman" w:eastAsia="Times New Roman" w:cs="Times New Roman"/>
        </w:rPr>
        <w:t xml:space="preserve"> H</w:t>
      </w:r>
      <w:r>
        <w:rPr>
          <w:rFonts w:ascii="Times New Roman" w:hAnsi="Times New Roman" w:eastAsia="Times New Roman" w:cs="Times New Roman"/>
          <w:vertAlign w:val="subscript"/>
        </w:rPr>
        <w:t xml:space="preserve"> 2 </w:t>
      </w:r>
      <w:r>
        <w:rPr>
          <w:rFonts w:ascii="宋体" w:hAnsi="宋体" w:eastAsia="宋体" w:cs="宋体"/>
        </w:rPr>
        <w:t>将</w:t>
      </w:r>
      <w:r>
        <w:rPr>
          <w:rFonts w:ascii="Times New Roman" w:hAnsi="Times New Roman" w:eastAsia="Times New Roman" w:cs="Times New Roman"/>
        </w:rPr>
        <w:t xml:space="preserve"> 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还原为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。</w:t>
      </w:r>
    </w:p>
    <w:p w14:paraId="1A05B7B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已知：</w:t>
      </w:r>
      <w:r>
        <w:rPr>
          <w:rFonts w:ascii="Times New Roman" w:hAnsi="Times New Roman" w:eastAsia="Times New Roman" w:cs="Times New Roman"/>
        </w:rPr>
        <w:t>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(g)=2H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>=-483kJ/mol</w:t>
      </w:r>
    </w:p>
    <w:p w14:paraId="1DDAB95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(g)+2O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(g)=2NO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>=+67kJ/mol</w:t>
      </w:r>
    </w:p>
    <w:p w14:paraId="56B67756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ascii="宋体" w:hAnsi="宋体" w:eastAsia="宋体" w:cs="宋体"/>
        </w:rPr>
        <w:t>则</w:t>
      </w:r>
      <w:r>
        <w:rPr>
          <w:rFonts w:ascii="Times New Roman" w:hAnsi="Times New Roman" w:eastAsia="Times New Roman" w:cs="Times New Roman"/>
        </w:rPr>
        <w:t xml:space="preserve"> 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还原</w:t>
      </w:r>
      <w:r>
        <w:rPr>
          <w:rFonts w:ascii="Times New Roman" w:hAnsi="Times New Roman" w:eastAsia="Times New Roman" w:cs="Times New Roman"/>
        </w:rPr>
        <w:t xml:space="preserve"> 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生成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的热化学方程式是</w:t>
      </w: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编写人：周丽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2AA45E84"/>
    <w:rsid w:val="42984EF4"/>
    <w:rsid w:val="4DC90020"/>
    <w:rsid w:val="4E8956D1"/>
    <w:rsid w:val="5B43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6" Type="http://schemas.openxmlformats.org/officeDocument/2006/relationships/fontTable" Target="fontTable.xml"/><Relationship Id="rId65" Type="http://schemas.openxmlformats.org/officeDocument/2006/relationships/numbering" Target="numbering.xml"/><Relationship Id="rId64" Type="http://schemas.openxmlformats.org/officeDocument/2006/relationships/oleObject" Target="embeddings/oleObject32.bin"/><Relationship Id="rId63" Type="http://schemas.openxmlformats.org/officeDocument/2006/relationships/image" Target="media/image28.png"/><Relationship Id="rId62" Type="http://schemas.openxmlformats.org/officeDocument/2006/relationships/image" Target="media/image27.wmf"/><Relationship Id="rId61" Type="http://schemas.openxmlformats.org/officeDocument/2006/relationships/oleObject" Target="embeddings/oleObject31.bin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image" Target="media/image1.jpeg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</Words>
  <Characters>80</Characters>
  <Lines>0</Lines>
  <Paragraphs>0</Paragraphs>
  <TotalTime>1</TotalTime>
  <ScaleCrop>false</ScaleCrop>
  <LinksUpToDate>false</LinksUpToDate>
  <CharactersWithSpaces>102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明天</cp:lastModifiedBy>
  <dcterms:modified xsi:type="dcterms:W3CDTF">2025-01-03T13:42:27Z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624B5F3AC4F043399D36AFFA688A1A1D_13</vt:lpwstr>
  </property>
  <property fmtid="{D5CDD505-2E9C-101B-9397-08002B2CF9AE}" pid="4" name="KSOTemplateDocerSaveRecord">
    <vt:lpwstr>eyJoZGlkIjoiOGUyNGMyYTM4M2U3NDkzN2VmYzY0YzU1ZTY2YjdhNDMiLCJ1c2VySWQiOiIyODU4NjY3MjAifQ==</vt:lpwstr>
  </property>
</Properties>
</file>