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C6A18">
      <w:pPr>
        <w:keepNext/>
        <w:keepLines/>
        <w:widowControl w:val="0"/>
        <w:bidi w:val="0"/>
        <w:spacing w:before="260" w:beforeLines="0" w:beforeAutospacing="0" w:after="260" w:afterLines="0" w:afterAutospacing="0" w:line="413" w:lineRule="auto"/>
        <w:jc w:val="center"/>
        <w:outlineLvl w:val="1"/>
        <w:rPr>
          <w:rFonts w:ascii="Arial" w:hAnsi="Arial" w:eastAsia="黑体" w:cs="Times New Roman"/>
          <w:b/>
          <w:kern w:val="2"/>
          <w:sz w:val="15"/>
          <w:szCs w:val="15"/>
          <w:lang w:val="en-US" w:eastAsia="zh-CN" w:bidi="ar-SA"/>
        </w:rPr>
      </w:pPr>
      <w:r>
        <w:rPr>
          <w:rFonts w:ascii="宋体" w:hAnsi="宋体" w:cs="宋体"/>
          <w:b/>
          <w:color w:val="000000"/>
          <w:sz w:val="30"/>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10934700</wp:posOffset>
            </wp:positionV>
            <wp:extent cx="444500" cy="3302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444500" cy="330200"/>
                    </a:xfrm>
                    <a:prstGeom prst="rect">
                      <a:avLst/>
                    </a:prstGeom>
                  </pic:spPr>
                </pic:pic>
              </a:graphicData>
            </a:graphic>
          </wp:anchor>
        </w:drawing>
      </w:r>
      <w:r>
        <w:drawing>
          <wp:inline distT="0" distB="0" distL="0" distR="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9"/>
                    <a:stretch>
                      <a:fillRect/>
                    </a:stretch>
                  </pic:blipFill>
                  <pic:spPr>
                    <a:xfrm>
                      <a:off x="0" y="0"/>
                      <a:ext cx="12700" cy="12700"/>
                    </a:xfrm>
                    <a:prstGeom prst="rect">
                      <a:avLst/>
                    </a:prstGeom>
                  </pic:spPr>
                </pic:pic>
              </a:graphicData>
            </a:graphic>
          </wp:inline>
        </w:drawing>
      </w:r>
      <w:r>
        <w:rPr>
          <w:rFonts w:hint="eastAsia" w:ascii="宋体" w:hAnsi="宋体" w:eastAsia="宋体" w:cs="宋体"/>
          <w:b/>
          <w:kern w:val="2"/>
          <w:sz w:val="15"/>
          <w:szCs w:val="15"/>
          <w:lang w:val="en-US" w:eastAsia="zh-CN" w:bidi="ar-SA"/>
        </w:rPr>
        <w:t>横峰中学学生课堂导学训案（政治） 高一  使用时间202</w:t>
      </w:r>
      <w:r>
        <w:rPr>
          <w:rFonts w:hint="eastAsia" w:ascii="宋体" w:hAnsi="宋体" w:cs="宋体"/>
          <w:b/>
          <w:kern w:val="2"/>
          <w:sz w:val="15"/>
          <w:szCs w:val="15"/>
          <w:lang w:val="en-US" w:eastAsia="zh-CN" w:bidi="ar-SA"/>
        </w:rPr>
        <w:t>501</w:t>
      </w:r>
      <w:r>
        <w:rPr>
          <w:rFonts w:hint="eastAsia" w:ascii="宋体" w:hAnsi="宋体" w:eastAsia="宋体" w:cs="宋体"/>
          <w:b/>
          <w:kern w:val="2"/>
          <w:sz w:val="15"/>
          <w:szCs w:val="15"/>
          <w:lang w:val="en-US" w:eastAsia="zh-CN" w:bidi="ar-SA"/>
        </w:rPr>
        <w:t xml:space="preserve">  编写人 ：</w:t>
      </w:r>
      <w:r>
        <w:rPr>
          <w:rFonts w:hint="eastAsia" w:ascii="宋体" w:hAnsi="宋体" w:cs="宋体"/>
          <w:b/>
          <w:kern w:val="2"/>
          <w:sz w:val="15"/>
          <w:szCs w:val="15"/>
          <w:lang w:val="en-US" w:eastAsia="zh-CN" w:bidi="ar-SA"/>
        </w:rPr>
        <w:t>王瑜</w:t>
      </w:r>
      <w:r>
        <w:rPr>
          <w:rFonts w:hint="eastAsia" w:ascii="宋体" w:hAnsi="宋体" w:eastAsia="宋体" w:cs="宋体"/>
          <w:b/>
          <w:kern w:val="2"/>
          <w:sz w:val="15"/>
          <w:szCs w:val="15"/>
          <w:lang w:val="en-US" w:eastAsia="zh-CN" w:bidi="ar-SA"/>
        </w:rPr>
        <w:t xml:space="preserve"> 审核人：</w:t>
      </w:r>
      <w:r>
        <w:rPr>
          <w:rFonts w:hint="eastAsia" w:ascii="宋体" w:hAnsi="宋体" w:cs="宋体"/>
          <w:b/>
          <w:kern w:val="2"/>
          <w:sz w:val="15"/>
          <w:szCs w:val="15"/>
          <w:lang w:val="en-US" w:eastAsia="zh-CN" w:bidi="ar-SA"/>
        </w:rPr>
        <w:t>林垂明</w:t>
      </w:r>
      <w:bookmarkStart w:id="0" w:name="_GoBack"/>
      <w:bookmarkEnd w:id="0"/>
    </w:p>
    <w:p w14:paraId="14395F36">
      <w:pPr>
        <w:numPr>
          <w:ilvl w:val="0"/>
          <w:numId w:val="1"/>
        </w:numPr>
        <w:jc w:val="center"/>
        <w:textAlignment w:val="center"/>
        <w:rPr>
          <w:rFonts w:hint="eastAsia" w:ascii="宋体" w:hAnsi="宋体" w:eastAsia="宋体" w:cs="宋体"/>
          <w:b/>
          <w:bCs/>
          <w:sz w:val="30"/>
          <w:szCs w:val="30"/>
          <w:lang w:val="en-US" w:eastAsia="zh-CN"/>
        </w:rPr>
      </w:pPr>
      <w:r>
        <w:rPr>
          <w:rFonts w:hint="eastAsia" w:ascii="宋体" w:hAnsi="宋体" w:eastAsia="宋体" w:cs="宋体"/>
          <w:b/>
          <w:sz w:val="30"/>
          <w:szCs w:val="30"/>
        </w:rPr>
        <w:drawing>
          <wp:anchor distT="0" distB="0" distL="114300" distR="114300" simplePos="0" relativeHeight="251661312" behindDoc="0" locked="0" layoutInCell="1" allowOverlap="1">
            <wp:simplePos x="0" y="0"/>
            <wp:positionH relativeFrom="page">
              <wp:posOffset>11150600</wp:posOffset>
            </wp:positionH>
            <wp:positionV relativeFrom="topMargin">
              <wp:posOffset>11468100</wp:posOffset>
            </wp:positionV>
            <wp:extent cx="254000" cy="4699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rFonts w:hint="eastAsia" w:ascii="宋体" w:hAnsi="宋体" w:eastAsia="宋体" w:cs="宋体"/>
          <w:b/>
          <w:sz w:val="30"/>
          <w:szCs w:val="30"/>
        </w:rPr>
        <w:drawing>
          <wp:anchor distT="0" distB="0" distL="114300" distR="114300" simplePos="0" relativeHeight="251662336" behindDoc="0" locked="0" layoutInCell="1" allowOverlap="1">
            <wp:simplePos x="0" y="0"/>
            <wp:positionH relativeFrom="page">
              <wp:posOffset>12166600</wp:posOffset>
            </wp:positionH>
            <wp:positionV relativeFrom="topMargin">
              <wp:posOffset>11747500</wp:posOffset>
            </wp:positionV>
            <wp:extent cx="355600" cy="4445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55600" cy="444500"/>
                    </a:xfrm>
                    <a:prstGeom prst="rect">
                      <a:avLst/>
                    </a:prstGeom>
                  </pic:spPr>
                </pic:pic>
              </a:graphicData>
            </a:graphic>
          </wp:anchor>
        </w:drawing>
      </w:r>
      <w:r>
        <w:rPr>
          <w:rFonts w:hint="eastAsia" w:ascii="宋体" w:hAnsi="宋体" w:eastAsia="宋体" w:cs="宋体"/>
          <w:b/>
          <w:bCs/>
          <w:sz w:val="30"/>
          <w:szCs w:val="30"/>
          <w:lang w:val="en-US" w:eastAsia="zh-CN"/>
        </w:rPr>
        <w:t>我国的个人收入分配与社会保障</w:t>
      </w:r>
    </w:p>
    <w:p w14:paraId="406FD293">
      <w:pPr>
        <w:numPr>
          <w:ilvl w:val="0"/>
          <w:numId w:val="0"/>
        </w:numPr>
        <w:jc w:val="center"/>
        <w:textAlignment w:val="center"/>
        <w:rPr>
          <w:rFonts w:hint="eastAsia" w:ascii="黑体" w:hAnsi="黑体" w:eastAsia="黑体" w:cs="黑体"/>
          <w:b/>
          <w:color w:val="000000"/>
          <w:sz w:val="30"/>
        </w:rPr>
      </w:pPr>
      <w:r>
        <w:rPr>
          <w:rFonts w:ascii="宋体" w:hAnsi="宋体" w:cs="宋体"/>
          <w:b/>
          <w:color w:val="000000"/>
          <w:sz w:val="30"/>
        </w:rPr>
        <w:t>4.2我国的社会保障</w:t>
      </w:r>
    </w:p>
    <w:p w14:paraId="4BE4D345">
      <w:pPr>
        <w:jc w:val="left"/>
        <w:textAlignment w:val="center"/>
        <w:rPr>
          <w:rFonts w:hint="eastAsia" w:ascii="宋体" w:hAnsi="宋体" w:cs="宋体"/>
          <w:b/>
          <w:color w:val="000000"/>
        </w:rPr>
      </w:pPr>
      <w:r>
        <w:rPr>
          <w:rFonts w:ascii="宋体" w:hAnsi="宋体" w:cs="宋体"/>
          <w:b/>
          <w:color w:val="000000"/>
        </w:rPr>
        <w:t>一、单选题</w:t>
      </w:r>
    </w:p>
    <w:p w14:paraId="1DACB8C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渐进性延迟退休是近年来社会热议的话题。但不少人担心，延迟退休年龄以后，自己中年失业了该怎么办？以延迟后的退休年龄标准为65岁计算，如果一个劳动者在34岁，甚至40岁的时候就失业，而且找不到新的工作。这意味着，要在失业的环境中，坚持25年甚至30多年才可以退休。而且在失业以后，社保的缴费等都会成为问题。为此，需要（</w:t>
      </w:r>
      <w:r>
        <w:rPr>
          <w:rFonts w:eastAsia="Times New Roman"/>
          <w:kern w:val="0"/>
          <w:sz w:val="24"/>
          <w:szCs w:val="24"/>
        </w:rPr>
        <w:t>   </w:t>
      </w:r>
      <w:r>
        <w:t>）</w:t>
      </w:r>
    </w:p>
    <w:p w14:paraId="0F9969A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①完善再分配调节机制，加快推进基本公共服务均等化</w:t>
      </w:r>
    </w:p>
    <w:p w14:paraId="1E66A31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②深化收入分配改革，增强劳动报酬在初次分配中比重</w:t>
      </w:r>
    </w:p>
    <w:p w14:paraId="6C2A33F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③加快健全和完善社会保障制度，增强群众更多获得感</w:t>
      </w:r>
    </w:p>
    <w:p w14:paraId="667E978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④公民要增加权利意识和法律意识，依法维护自身权益</w:t>
      </w:r>
    </w:p>
    <w:p w14:paraId="3B09F68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B．②④</w:t>
      </w:r>
      <w:r>
        <w:rPr>
          <w:rFonts w:hint="eastAsia"/>
          <w:lang w:val="en-US" w:eastAsia="zh-CN"/>
        </w:rPr>
        <w:t xml:space="preserve">  </w:t>
      </w:r>
      <w:r>
        <w:t>C．①③</w:t>
      </w:r>
      <w:r>
        <w:rPr>
          <w:rFonts w:hint="eastAsia"/>
          <w:lang w:val="en-US" w:eastAsia="zh-CN"/>
        </w:rPr>
        <w:t xml:space="preserve">  </w:t>
      </w:r>
      <w:r>
        <w:t>D．③④</w:t>
      </w:r>
    </w:p>
    <w:p w14:paraId="3609612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2024年7月25日，国家医保局发布《2023年全国医疗保障事业发展统计公报》，数据显示，我国基本医疗保险运行稳健，截至去年，超13亿人参保，全年参加居民医保人员享受待遇26.1亿人次，比上年增长21.1%。由此可以看出，我国的基本医疗保险（</w:t>
      </w:r>
      <w:r>
        <w:rPr>
          <w:rFonts w:eastAsia="Times New Roman"/>
          <w:kern w:val="0"/>
          <w:sz w:val="24"/>
          <w:szCs w:val="24"/>
        </w:rPr>
        <w:t>   </w:t>
      </w:r>
      <w:r>
        <w:t>）</w:t>
      </w:r>
    </w:p>
    <w:p w14:paraId="014FFB2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①有利于减轻老百姓的医疗费用负担</w:t>
      </w:r>
    </w:p>
    <w:p w14:paraId="3210B7A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②将人民至上理念转化为医保惠民实效</w:t>
      </w:r>
    </w:p>
    <w:p w14:paraId="621BDA4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③能满足被保险人较高层次的保险需求</w:t>
      </w:r>
    </w:p>
    <w:p w14:paraId="12676E8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④是保障居民生存权利的最后一道防线</w:t>
      </w:r>
    </w:p>
    <w:p w14:paraId="02F01DC2">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B．②③</w:t>
      </w:r>
      <w:r>
        <w:rPr>
          <w:rFonts w:hint="eastAsia"/>
          <w:lang w:val="en-US" w:eastAsia="zh-CN"/>
        </w:rPr>
        <w:t xml:space="preserve">   </w:t>
      </w:r>
      <w:r>
        <w:t>C．②④</w:t>
      </w:r>
      <w:r>
        <w:rPr>
          <w:rFonts w:hint="eastAsia"/>
          <w:lang w:val="en-US" w:eastAsia="zh-CN"/>
        </w:rPr>
        <w:t xml:space="preserve">  </w:t>
      </w:r>
      <w:r>
        <w:t>D．①④</w:t>
      </w:r>
    </w:p>
    <w:p w14:paraId="4A2D91A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3．下图为2019~2024年企业和机关事业单位退休人员基本养老金调标比例。</w:t>
      </w:r>
    </w:p>
    <w:p w14:paraId="6E86C81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2019—2024 年企业和机关事业单位退休人员基本养老金调标比例</w:t>
      </w:r>
    </w:p>
    <w:p w14:paraId="2848596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rPr>
          <w:rFonts w:eastAsia="Times New Roman"/>
          <w:kern w:val="0"/>
          <w:sz w:val="24"/>
          <w:szCs w:val="24"/>
        </w:rPr>
        <w:drawing>
          <wp:inline distT="0" distB="0" distL="0" distR="0">
            <wp:extent cx="4476750" cy="1457325"/>
            <wp:effectExtent l="0" t="0" r="0" b="0"/>
            <wp:docPr id="100003" name="图片 100003" descr="@@@bf967432-d53c-45ca-97c4-4a073537d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bf967432-d53c-45ca-97c4-4a073537d607"/>
                    <pic:cNvPicPr>
                      <a:picLocks noChangeAspect="1"/>
                    </pic:cNvPicPr>
                  </pic:nvPicPr>
                  <pic:blipFill>
                    <a:blip r:embed="rId12"/>
                    <a:stretch>
                      <a:fillRect/>
                    </a:stretch>
                  </pic:blipFill>
                  <pic:spPr>
                    <a:xfrm>
                      <a:off x="0" y="0"/>
                      <a:ext cx="4476750" cy="1457325"/>
                    </a:xfrm>
                    <a:prstGeom prst="rect">
                      <a:avLst/>
                    </a:prstGeom>
                  </pic:spPr>
                </pic:pic>
              </a:graphicData>
            </a:graphic>
          </wp:inline>
        </w:drawing>
      </w:r>
      <w:r>
        <w:t>据此，可以推断出近年来我国（</w:t>
      </w:r>
      <w:r>
        <w:rPr>
          <w:rFonts w:eastAsia="Times New Roman"/>
          <w:kern w:val="0"/>
          <w:sz w:val="24"/>
          <w:szCs w:val="24"/>
        </w:rPr>
        <w:t>   </w:t>
      </w:r>
      <w:r>
        <w:t>）</w:t>
      </w:r>
    </w:p>
    <w:p w14:paraId="4F19401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①加大对社保的支持力度，提高人民的幸福感和获得感</w:t>
      </w:r>
    </w:p>
    <w:p w14:paraId="394C39E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②通过调节初次分配秩序，切实提高人民的转移性收入</w:t>
      </w:r>
    </w:p>
    <w:p w14:paraId="7C82D98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③社保调整工作平稳运行，能够满足人民不断增长的需求</w:t>
      </w:r>
    </w:p>
    <w:p w14:paraId="4DB4CC3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④调整基本养老金标准比例，提高老年人的高水平消费</w:t>
      </w:r>
    </w:p>
    <w:p w14:paraId="1153E1FD">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B．①③</w:t>
      </w:r>
      <w:r>
        <w:rPr>
          <w:rFonts w:hint="eastAsia"/>
          <w:lang w:val="en-US" w:eastAsia="zh-CN"/>
        </w:rPr>
        <w:t xml:space="preserve">  </w:t>
      </w:r>
      <w:r>
        <w:t>C．②④</w:t>
      </w:r>
      <w:r>
        <w:rPr>
          <w:rFonts w:hint="eastAsia"/>
          <w:lang w:val="en-US" w:eastAsia="zh-CN"/>
        </w:rPr>
        <w:t xml:space="preserve">  </w:t>
      </w:r>
      <w:r>
        <w:t>D．③④</w:t>
      </w:r>
    </w:p>
    <w:p w14:paraId="02FFF81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根据国家医保局等部门2024年8月26日公布的《关于做好2024年城乡居民基本医疗保障有关工作的通知》，2024年城乡居民基本医疗保险财政补助和个人缴费标准分别较上年增加30元和20元，达到每人每年不低于670元和400元。这体现了我国（</w:t>
      </w:r>
      <w:r>
        <w:rPr>
          <w:rFonts w:eastAsia="Times New Roman"/>
          <w:kern w:val="0"/>
          <w:sz w:val="24"/>
          <w:szCs w:val="24"/>
        </w:rPr>
        <w:t>  </w:t>
      </w:r>
      <w:r>
        <w:t>）</w:t>
      </w:r>
    </w:p>
    <w:p w14:paraId="3D64995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①提高医疗补助标准，优化城乡居民的消费结构</w:t>
      </w:r>
    </w:p>
    <w:p w14:paraId="591135D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②更加注重社会公平，实现发展成果由人民共享</w:t>
      </w:r>
    </w:p>
    <w:p w14:paraId="149A290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③健全初次分配机制，协调国家与个人的利益关系</w:t>
      </w:r>
    </w:p>
    <w:p w14:paraId="16DB573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④加大再分配力度，提高城乡居民基本医疗保障水平</w:t>
      </w:r>
    </w:p>
    <w:p w14:paraId="4D7446E2">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B．①③</w:t>
      </w:r>
      <w:r>
        <w:rPr>
          <w:rFonts w:hint="eastAsia"/>
          <w:lang w:val="en-US" w:eastAsia="zh-CN"/>
        </w:rPr>
        <w:t xml:space="preserve">  </w:t>
      </w:r>
      <w:r>
        <w:t>C．②④</w:t>
      </w:r>
      <w:r>
        <w:rPr>
          <w:rFonts w:hint="eastAsia"/>
          <w:lang w:val="en-US" w:eastAsia="zh-CN"/>
        </w:rPr>
        <w:t xml:space="preserve">  </w:t>
      </w:r>
      <w:r>
        <w:t>D．③④</w:t>
      </w:r>
    </w:p>
    <w:p w14:paraId="6821CB2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2023年12月18日23时59分，甘肃临夏州积石山县发生6.2级地震。中共中央、国务院立即启动应急预案，截至19日17时，国家防灾减灾救灾委员会、应急管理部，会同国家粮食和物资储备局已向灾区调拨中央救灾物资13.35万件，全力支持灾区做好受灾群众临时安置和生活救助工作。这体现了（  ）</w:t>
      </w:r>
    </w:p>
    <w:p w14:paraId="0FE43EE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①我国能把社会主义制度的优势和市场经济的长处结合起来</w:t>
      </w:r>
    </w:p>
    <w:p w14:paraId="2BC9D58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②坚持中国共产党领导是中国特色社会主义制度的最大优势</w:t>
      </w:r>
    </w:p>
    <w:p w14:paraId="0F525C8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③灾害救助能有效保障困难群众基本生活权利、维护社会秩序稳定</w:t>
      </w:r>
    </w:p>
    <w:p w14:paraId="23ACFC3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④社会保险是保障社会成员生活安全和生存权利的“最后一道防线”</w:t>
      </w:r>
    </w:p>
    <w:p w14:paraId="051922BC">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B．①④</w:t>
      </w:r>
      <w:r>
        <w:rPr>
          <w:rFonts w:hint="eastAsia"/>
          <w:lang w:val="en-US" w:eastAsia="zh-CN"/>
        </w:rPr>
        <w:t xml:space="preserve">  </w:t>
      </w:r>
      <w:r>
        <w:t>C．②③</w:t>
      </w:r>
      <w:r>
        <w:rPr>
          <w:rFonts w:hint="eastAsia"/>
          <w:lang w:val="en-US" w:eastAsia="zh-CN"/>
        </w:rPr>
        <w:t xml:space="preserve">   </w:t>
      </w:r>
      <w:r>
        <w:t>D．③④</w:t>
      </w:r>
    </w:p>
    <w:p w14:paraId="15852A4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随着我国经济的发展，我国已建成世界上规模最大的社会保障体系。截至2023年6月末，我国基本养老、失业、工伤和生育保险参保人员已分别达到10.57亿人、2.4亿人、2.94亿人和2.46亿人，基本医疗保险参保率稳定在95%左右；各项社保基金累计结余超过12.5万亿元。对此认识正确的是（  ）</w:t>
      </w:r>
    </w:p>
    <w:p w14:paraId="3801966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①经济发展是社会保障的基础，社会保障必须有相应的经济实力作支撑</w:t>
      </w:r>
    </w:p>
    <w:p w14:paraId="6CB8400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②社会保障是保障社会成员生活安全和生存权利的“最后一道防线”</w:t>
      </w:r>
    </w:p>
    <w:p w14:paraId="0846912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③社会保障体系形成没有漏洞的“安全网”，有利于缩小贫富差距</w:t>
      </w:r>
    </w:p>
    <w:p w14:paraId="4088BAB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④发挥初次分配调节器的作用，化解社会矛盾，促进社会公平正义</w:t>
      </w:r>
    </w:p>
    <w:p w14:paraId="29FEF481">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B．①③</w:t>
      </w:r>
      <w:r>
        <w:rPr>
          <w:rFonts w:hint="eastAsia"/>
          <w:lang w:val="en-US" w:eastAsia="zh-CN"/>
        </w:rPr>
        <w:t xml:space="preserve">  </w:t>
      </w:r>
      <w:r>
        <w:t>C．②④</w:t>
      </w:r>
      <w:r>
        <w:rPr>
          <w:rFonts w:hint="eastAsia"/>
          <w:lang w:val="en-US" w:eastAsia="zh-CN"/>
        </w:rPr>
        <w:t xml:space="preserve">  </w:t>
      </w:r>
      <w:r>
        <w:t>D．③④</w:t>
      </w:r>
    </w:p>
    <w:p w14:paraId="20D2BB8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社会优抚是指国家和社会依法对军人及军烈属提供的各种优待、抚恤、养老、就业安置等待遇和服务的保障制度。2018年8月1日起，国家再次提高了部分退役军人和其他优抚对象抚恤补助标准。下列关于社会优抚的认识,正确的是（  ）</w:t>
      </w:r>
    </w:p>
    <w:p w14:paraId="1B00D7F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①是我国社会保障体系中最低层次的社会保障</w:t>
      </w:r>
    </w:p>
    <w:p w14:paraId="2BE4DCF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②是保障社会成员生活安全和生存的“最后一道防线”</w:t>
      </w:r>
    </w:p>
    <w:p w14:paraId="40BF079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③对维持社会稳定、促进国防安全有重要意义</w:t>
      </w:r>
    </w:p>
    <w:p w14:paraId="05C7D95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④保障的主要对象是现役军人、复员退伍军人以及军烈属</w:t>
      </w:r>
    </w:p>
    <w:p w14:paraId="1245EE53">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B．①④</w:t>
      </w:r>
      <w:r>
        <w:tab/>
      </w:r>
      <w:r>
        <w:t>C．②③</w:t>
      </w:r>
      <w:r>
        <w:rPr>
          <w:rFonts w:hint="eastAsia"/>
          <w:lang w:val="en-US" w:eastAsia="zh-CN"/>
        </w:rPr>
        <w:t xml:space="preserve">  </w:t>
      </w:r>
      <w:r>
        <w:t>D．③④</w:t>
      </w:r>
    </w:p>
    <w:p w14:paraId="1CB8836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银发经济是向老年人提供产品或服务，以及为老龄阶段做准备等一系列经济活动的总和，涉及面广、产业链长、业态多元、潜力巨大。发展银发经济是积极应对人口老龄化、推动高质量发展的重要举措，既利当前又惠长远。鉴于此，国务院办公厅印发《关于发展银发经济增进老年人福祉的意见》。下列举措符合该政策要求且传导路径正确的是（</w:t>
      </w:r>
      <w:r>
        <w:rPr>
          <w:rFonts w:eastAsia="Times New Roman"/>
          <w:kern w:val="0"/>
          <w:sz w:val="24"/>
          <w:szCs w:val="24"/>
        </w:rPr>
        <w:t>   </w:t>
      </w:r>
      <w:r>
        <w:t>）</w:t>
      </w:r>
    </w:p>
    <w:p w14:paraId="64F6A3D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①以银发需求为牵引→打造友善适老消费环境→加强老年人权益保障→增进老年人福祉</w:t>
      </w:r>
    </w:p>
    <w:p w14:paraId="708FFB8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②聚焦银发刚需→引导经营主体增加投入→提供高品质服务供给→减轻家庭养老负担</w:t>
      </w:r>
    </w:p>
    <w:p w14:paraId="736429C4">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③创新养老体制机制→加快养老产业集群发展→丰富服务供给→满足老年人养老需求</w:t>
      </w:r>
    </w:p>
    <w:p w14:paraId="14A8BA2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④养老保险全覆盖→提高养老保障基数→深挖老年群体消费潜力→促进银发经济发展</w:t>
      </w:r>
    </w:p>
    <w:p w14:paraId="5221417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B．①③</w:t>
      </w:r>
      <w:r>
        <w:tab/>
      </w:r>
      <w:r>
        <w:t>C．②④</w:t>
      </w:r>
      <w:r>
        <w:rPr>
          <w:rFonts w:hint="eastAsia"/>
          <w:lang w:val="en-US" w:eastAsia="zh-CN"/>
        </w:rPr>
        <w:t xml:space="preserve">  </w:t>
      </w:r>
      <w:r>
        <w:t>D．③④</w:t>
      </w:r>
    </w:p>
    <w:p w14:paraId="5EED7EC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社会养老保险基金指的是为兴办、维护和发展养老保险事业而储备的专项基金，主要用于退出社会劳动后的老年人的基本生活。《中国养老金精算报告2019-2050》称，2019~2050年全国职工基本养老基金累计结余预测为：未来30年制度赡养率翻倍，当期结余将于2028年出现赤字并不断扩大。对此，认识正确的是（</w:t>
      </w:r>
      <w:r>
        <w:rPr>
          <w:rFonts w:eastAsia="Times New Roman"/>
          <w:kern w:val="0"/>
          <w:sz w:val="24"/>
          <w:szCs w:val="24"/>
        </w:rPr>
        <w:t>   </w:t>
      </w:r>
      <w:r>
        <w:t>）</w:t>
      </w:r>
    </w:p>
    <w:p w14:paraId="64C08B54">
      <w:pPr>
        <w:keepNext w:val="0"/>
        <w:keepLines w:val="0"/>
        <w:pageBreakBefore w:val="0"/>
        <w:widowControl w:val="0"/>
        <w:kinsoku/>
        <w:wordWrap/>
        <w:overflowPunct/>
        <w:topLinePunct w:val="0"/>
        <w:autoSpaceDE/>
        <w:autoSpaceDN/>
        <w:bidi w:val="0"/>
        <w:adjustRightInd/>
        <w:snapToGrid/>
        <w:spacing w:line="240" w:lineRule="auto"/>
        <w:ind w:left="300"/>
        <w:jc w:val="left"/>
        <w:textAlignment w:val="center"/>
      </w:pPr>
      <w:r>
        <w:t>A．随着人口老龄化的加剧，养老金支出压力加大</w:t>
      </w:r>
    </w:p>
    <w:p w14:paraId="45F18F81">
      <w:pPr>
        <w:keepNext w:val="0"/>
        <w:keepLines w:val="0"/>
        <w:pageBreakBefore w:val="0"/>
        <w:widowControl w:val="0"/>
        <w:kinsoku/>
        <w:wordWrap/>
        <w:overflowPunct/>
        <w:topLinePunct w:val="0"/>
        <w:autoSpaceDE/>
        <w:autoSpaceDN/>
        <w:bidi w:val="0"/>
        <w:adjustRightInd/>
        <w:snapToGrid/>
        <w:spacing w:line="240" w:lineRule="auto"/>
        <w:ind w:left="300"/>
        <w:jc w:val="left"/>
        <w:textAlignment w:val="center"/>
      </w:pPr>
      <w:r>
        <w:t>B．我国亟待通过第三次分配，减轻社会养老负担</w:t>
      </w:r>
    </w:p>
    <w:p w14:paraId="61433E58">
      <w:pPr>
        <w:keepNext w:val="0"/>
        <w:keepLines w:val="0"/>
        <w:pageBreakBefore w:val="0"/>
        <w:widowControl w:val="0"/>
        <w:kinsoku/>
        <w:wordWrap/>
        <w:overflowPunct/>
        <w:topLinePunct w:val="0"/>
        <w:autoSpaceDE/>
        <w:autoSpaceDN/>
        <w:bidi w:val="0"/>
        <w:adjustRightInd/>
        <w:snapToGrid/>
        <w:spacing w:line="240" w:lineRule="auto"/>
        <w:ind w:left="300"/>
        <w:jc w:val="left"/>
        <w:textAlignment w:val="center"/>
      </w:pPr>
      <w:r>
        <w:t>C．社会养老保险已无法保障社会成员基本生活需求</w:t>
      </w:r>
    </w:p>
    <w:p w14:paraId="36A15E12">
      <w:pPr>
        <w:keepNext w:val="0"/>
        <w:keepLines w:val="0"/>
        <w:pageBreakBefore w:val="0"/>
        <w:widowControl w:val="0"/>
        <w:kinsoku/>
        <w:wordWrap/>
        <w:overflowPunct/>
        <w:topLinePunct w:val="0"/>
        <w:autoSpaceDE/>
        <w:autoSpaceDN/>
        <w:bidi w:val="0"/>
        <w:adjustRightInd/>
        <w:snapToGrid/>
        <w:spacing w:line="240" w:lineRule="auto"/>
        <w:ind w:left="300"/>
        <w:jc w:val="left"/>
        <w:textAlignment w:val="center"/>
      </w:pPr>
      <w:r>
        <w:t>D．国家需要健全以个人养老为基础的养老保险体系</w:t>
      </w:r>
    </w:p>
    <w:p w14:paraId="7A33CE9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江西省出台的《江西省人民政府办公厅关于建立健全江西省职工基本医疗保险门诊共济保障机制的实施意见》提出，通过调整统筹基金和个人账户结构，进一步增强基金的统筹保障功能，提升基金的使用效率，提高参保人门诊保障待遇和门诊医疗服务可及性。这一举措有利于（   ）</w:t>
      </w:r>
    </w:p>
    <w:p w14:paraId="7E0D884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①降低家庭成员医疗负担，筑牢其生存的“最后一道防线”</w:t>
      </w:r>
    </w:p>
    <w:p w14:paraId="1D5EF49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②实现家庭成员之间的门诊共济，提高医保资金使用效率</w:t>
      </w:r>
    </w:p>
    <w:p w14:paraId="246DC6C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③提高家庭成员生活质量，保障其较高层次的生活需求</w:t>
      </w:r>
    </w:p>
    <w:p w14:paraId="37EE7D4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④完善我国社会保障体系，有效维护社会生活秩序稳定</w:t>
      </w:r>
    </w:p>
    <w:p w14:paraId="022847E6">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A．①③</w:t>
      </w:r>
      <w:r>
        <w:rPr>
          <w:rFonts w:hint="eastAsia"/>
          <w:lang w:val="en-US" w:eastAsia="zh-CN"/>
        </w:rPr>
        <w:t xml:space="preserve">  </w:t>
      </w:r>
      <w:r>
        <w:t>B．①④</w:t>
      </w:r>
      <w:r>
        <w:tab/>
      </w:r>
      <w:r>
        <w:t>C．②③</w:t>
      </w:r>
      <w:r>
        <w:rPr>
          <w:rFonts w:hint="eastAsia"/>
          <w:lang w:val="en-US" w:eastAsia="zh-CN"/>
        </w:rPr>
        <w:t xml:space="preserve">  </w:t>
      </w:r>
      <w:r>
        <w:t>D．②④</w:t>
      </w:r>
    </w:p>
    <w:p w14:paraId="3FA293F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习近平总书记指出:“中国式现代化是全体人民共同富裕的现代化。”共同富裕是中国特色社会主义的本质要求，实现共同富裕是党的重要使命。新时代新征程，必须扎实推进共同富裕进程。下列有助于“扎实推动共同富裕”的举措有（   ）</w:t>
      </w:r>
    </w:p>
    <w:p w14:paraId="33A024B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①提高劳动报酬在初次分配中的比重，健全工资合理增长机制</w:t>
      </w:r>
    </w:p>
    <w:p w14:paraId="52D7327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②健全各类生产要素由市场决定报酬的机制，充分发挥市场的作用</w:t>
      </w:r>
    </w:p>
    <w:p w14:paraId="13E9EF9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③加大再分配调节力度，完善覆盖全民的社会保障体系</w:t>
      </w:r>
    </w:p>
    <w:p w14:paraId="001D334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④推动农村土地所有权流转，增加农民收入，缩小城乡收入分配差距</w:t>
      </w:r>
    </w:p>
    <w:p w14:paraId="76B62CB1">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B．①③</w:t>
      </w:r>
      <w:r>
        <w:tab/>
      </w:r>
      <w:r>
        <w:t>C．②④</w:t>
      </w:r>
      <w:r>
        <w:rPr>
          <w:rFonts w:hint="eastAsia"/>
          <w:lang w:val="en-US" w:eastAsia="zh-CN"/>
        </w:rPr>
        <w:t xml:space="preserve">  </w:t>
      </w:r>
      <w:r>
        <w:t>D．③①</w:t>
      </w:r>
    </w:p>
    <w:p w14:paraId="1313956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2024年5月，为推进上海市医养结合高质量发展，更好满足老年人健康养老需求，上海市民政局等部门联合出台《关于进一步深化本市养老机构医养结合发展的若干措施》，提出强化养老机构与医疗机构签约合作、提升机构医养结合服务能力、加强建设和运营支持、强化科技为养老赋能等6方面22条措施。上海市这一举措（</w:t>
      </w:r>
      <w:r>
        <w:rPr>
          <w:rFonts w:eastAsia="Times New Roman"/>
          <w:kern w:val="0"/>
          <w:sz w:val="24"/>
          <w:szCs w:val="24"/>
        </w:rPr>
        <w:t>   </w:t>
      </w:r>
      <w:r>
        <w:t>）</w:t>
      </w:r>
    </w:p>
    <w:p w14:paraId="374CF0C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①有助于更好保障老年人权益，解决人口老龄化问题</w:t>
      </w:r>
    </w:p>
    <w:p w14:paraId="1A41C9C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②有利于多元主体参与养老事业，减轻政府财政负担</w:t>
      </w:r>
    </w:p>
    <w:p w14:paraId="5FD6FCE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③能够完善我国社会保障体系，满足群众基本养老需求</w:t>
      </w:r>
    </w:p>
    <w:p w14:paraId="04708CD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④有利于提升养老服务质量，提升老年人幸福生活品质</w:t>
      </w:r>
    </w:p>
    <w:p w14:paraId="58862303">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A．①③</w:t>
      </w:r>
      <w:r>
        <w:rPr>
          <w:rFonts w:hint="eastAsia"/>
          <w:lang w:val="en-US" w:eastAsia="zh-CN"/>
        </w:rPr>
        <w:t xml:space="preserve">  </w:t>
      </w:r>
      <w:r>
        <w:t>B．①④</w:t>
      </w:r>
      <w:r>
        <w:tab/>
      </w:r>
      <w:r>
        <w:t>C．②③</w:t>
      </w:r>
      <w:r>
        <w:rPr>
          <w:rFonts w:hint="eastAsia"/>
          <w:lang w:val="en-US" w:eastAsia="zh-CN"/>
        </w:rPr>
        <w:t xml:space="preserve">  </w:t>
      </w:r>
      <w:r>
        <w:t>D．②④</w:t>
      </w:r>
    </w:p>
    <w:p w14:paraId="2A18CBF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广东省“民生十大工程”五年行动计划(2023—2027年)》明确提出，通过实施居家社区养老服务扩面提质行动、机构养老服务提质增效行动、养老服务有效供给能力提升行动、医养康养深度结合行动等四大重点任务，基本建成覆盖全体老年人、权责清晰、保障适度、可持续的基本养老服务体系。该行动计划旨在（</w:t>
      </w:r>
      <w:r>
        <w:rPr>
          <w:rFonts w:eastAsia="Times New Roman"/>
          <w:kern w:val="0"/>
          <w:sz w:val="24"/>
          <w:szCs w:val="24"/>
        </w:rPr>
        <w:t>   </w:t>
      </w:r>
      <w:r>
        <w:t>）</w:t>
      </w:r>
    </w:p>
    <w:p w14:paraId="7FE66F3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①扩大优质养老服务供给，实现发展成果由人民共享</w:t>
      </w:r>
    </w:p>
    <w:p w14:paraId="5B4FB59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②完善社会保障体系，实现基本养老服务城乡平均化</w:t>
      </w:r>
    </w:p>
    <w:p w14:paraId="33E5A42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③提高养老服务水平，保障公民享受相应的社保权益</w:t>
      </w:r>
    </w:p>
    <w:p w14:paraId="10196D8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④健全再分配调节机制，缩小城乡之间收入分配差距</w:t>
      </w:r>
    </w:p>
    <w:p w14:paraId="666AADA1">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A．①③</w:t>
      </w:r>
      <w:r>
        <w:rPr>
          <w:rFonts w:hint="eastAsia"/>
          <w:lang w:val="en-US" w:eastAsia="zh-CN"/>
        </w:rPr>
        <w:t xml:space="preserve">  </w:t>
      </w:r>
      <w:r>
        <w:t>B．①④</w:t>
      </w:r>
      <w:r>
        <w:tab/>
      </w:r>
      <w:r>
        <w:t>C．②③</w:t>
      </w:r>
      <w:r>
        <w:rPr>
          <w:rFonts w:hint="eastAsia"/>
          <w:lang w:val="en-US" w:eastAsia="zh-CN"/>
        </w:rPr>
        <w:t xml:space="preserve">  </w:t>
      </w:r>
      <w:r>
        <w:t>D．②④</w:t>
      </w:r>
    </w:p>
    <w:p w14:paraId="4DC98E4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2023年中央经济工作会议和2024年政府工作报告均明确提出，要大力发展银发经济。发展银发经济是积极应对人口老龄化的客观要求，也是实施扩大内需战略的重要举措，既利当前又惠长远。为满足老年群体多方面需求，促进银发经济高质量发展，企业可以（</w:t>
      </w:r>
      <w:r>
        <w:rPr>
          <w:rFonts w:eastAsia="Times New Roman"/>
          <w:kern w:val="0"/>
          <w:sz w:val="24"/>
          <w:szCs w:val="24"/>
        </w:rPr>
        <w:t>   </w:t>
      </w:r>
      <w:r>
        <w:t>）</w:t>
      </w:r>
    </w:p>
    <w:p w14:paraId="2C6F2CF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①积极创设老年文旅品牌，扩大市场供给</w:t>
      </w:r>
    </w:p>
    <w:p w14:paraId="654FDF0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②拓展多样医养结合服务，发展民生事业</w:t>
      </w:r>
    </w:p>
    <w:p w14:paraId="0257C11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③应保尽保完善社保体系，优化发展环境</w:t>
      </w:r>
    </w:p>
    <w:p w14:paraId="09DE91F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④打造智慧健康适老产品，培育新型消费</w:t>
      </w:r>
    </w:p>
    <w:p w14:paraId="687E4F5C">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A．①③</w:t>
      </w:r>
      <w:r>
        <w:rPr>
          <w:rFonts w:hint="eastAsia"/>
          <w:lang w:val="en-US" w:eastAsia="zh-CN"/>
        </w:rPr>
        <w:t xml:space="preserve">  </w:t>
      </w:r>
      <w:r>
        <w:t>B．①④</w:t>
      </w:r>
      <w:r>
        <w:tab/>
      </w:r>
      <w:r>
        <w:t>C．②③</w:t>
      </w:r>
      <w:r>
        <w:rPr>
          <w:rFonts w:hint="eastAsia"/>
          <w:lang w:val="en-US" w:eastAsia="zh-CN"/>
        </w:rPr>
        <w:t xml:space="preserve">  </w:t>
      </w:r>
      <w:r>
        <w:t>D．②④</w:t>
      </w:r>
    </w:p>
    <w:p w14:paraId="5AE9872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参保企业足额缴纳失业保险费12个月以上，上年度未裁员或裁员率不高于上年度全国城镇调查失业率控制目标，30人及以下的参保企业裁员率不高于参保职工总数20%的，大型、中小微企业分别可以申请失业保险费的30%、不超过60%返还。这一政策表明（</w:t>
      </w:r>
      <w:r>
        <w:rPr>
          <w:rFonts w:eastAsia="Times New Roman"/>
          <w:kern w:val="0"/>
          <w:sz w:val="24"/>
          <w:szCs w:val="24"/>
        </w:rPr>
        <w:t>   </w:t>
      </w:r>
      <w:r>
        <w:t>）</w:t>
      </w:r>
    </w:p>
    <w:p w14:paraId="390A116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①多层次社保体系利于发挥兜底功能</w:t>
      </w:r>
    </w:p>
    <w:p w14:paraId="713992B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②社会保障水平要与经济发展相适应</w:t>
      </w:r>
    </w:p>
    <w:p w14:paraId="174557F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③稳岗返还有利于增强企业活力</w:t>
      </w:r>
    </w:p>
    <w:p w14:paraId="5D7AACA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④稳就业是宏观调控的主要目标</w:t>
      </w:r>
    </w:p>
    <w:p w14:paraId="424C03A8">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pPr>
      <w:r>
        <w:t>A．①②</w:t>
      </w:r>
      <w:r>
        <w:rPr>
          <w:rFonts w:hint="eastAsia"/>
          <w:lang w:val="en-US" w:eastAsia="zh-CN"/>
        </w:rPr>
        <w:t xml:space="preserve">  </w:t>
      </w:r>
      <w:r>
        <w:t>B．②③</w:t>
      </w:r>
      <w:r>
        <w:tab/>
      </w:r>
      <w:r>
        <w:t>C．①④</w:t>
      </w:r>
      <w:r>
        <w:rPr>
          <w:rFonts w:hint="eastAsia"/>
          <w:lang w:val="en-US" w:eastAsia="zh-CN"/>
        </w:rPr>
        <w:t xml:space="preserve">  </w:t>
      </w:r>
      <w:r>
        <w:t>D．③④</w:t>
      </w:r>
    </w:p>
    <w:p w14:paraId="1426928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2023年，江西省将城乡最低生活月人均保障标准分别提高60元，将城乡困难残疾人生活补贴和重度残疾人护理补贴标准每人每月分别提高20元，将机构养育孤儿、城乡散居孤儿、事实无人抚养儿童基本生活每人每月保障标准每人每月分别提高220元、160元、160元。下列对此做法评价正确的是（</w:t>
      </w:r>
      <w:r>
        <w:rPr>
          <w:rFonts w:eastAsia="Times New Roman"/>
          <w:kern w:val="0"/>
          <w:sz w:val="24"/>
          <w:szCs w:val="24"/>
        </w:rPr>
        <w:t>   </w:t>
      </w:r>
      <w:r>
        <w:t>）</w:t>
      </w:r>
    </w:p>
    <w:p w14:paraId="5BF09F1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①完善社会救助，构筑保民生的“最后一道防线”</w:t>
      </w:r>
    </w:p>
    <w:p w14:paraId="2A27C26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②坚持应保尽保，完善统筹城乡的社会保障体系</w:t>
      </w:r>
    </w:p>
    <w:p w14:paraId="7B6C303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③扩大保障范围，通过财政支持兜牢民生底线</w:t>
      </w:r>
    </w:p>
    <w:p w14:paraId="432C5E2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④提高补贴标准，织密、织牢基本民生保障网络</w:t>
      </w:r>
    </w:p>
    <w:p w14:paraId="2AE17532">
      <w:pPr>
        <w:keepNext w:val="0"/>
        <w:keepLines w:val="0"/>
        <w:pageBreakBefore w:val="0"/>
        <w:widowControl w:val="0"/>
        <w:tabs>
          <w:tab w:val="left" w:pos="2078"/>
          <w:tab w:val="left" w:pos="4156"/>
          <w:tab w:val="left" w:pos="6234"/>
        </w:tabs>
        <w:kinsoku/>
        <w:wordWrap/>
        <w:overflowPunct/>
        <w:topLinePunct w:val="0"/>
        <w:autoSpaceDE/>
        <w:autoSpaceDN/>
        <w:bidi w:val="0"/>
        <w:adjustRightInd/>
        <w:snapToGrid/>
        <w:spacing w:line="240" w:lineRule="auto"/>
        <w:jc w:val="left"/>
        <w:textAlignment w:val="center"/>
        <w:rPr>
          <w:rFonts w:hint="eastAsia" w:ascii="黑体" w:hAnsi="黑体" w:eastAsia="黑体" w:cs="黑体"/>
          <w:b/>
          <w:color w:val="000000"/>
          <w:sz w:val="30"/>
        </w:rPr>
      </w:pPr>
      <w:r>
        <w:t>A．①②</w:t>
      </w:r>
      <w:r>
        <w:rPr>
          <w:rFonts w:hint="eastAsia"/>
          <w:lang w:val="en-US" w:eastAsia="zh-CN"/>
        </w:rPr>
        <w:t xml:space="preserve">  </w:t>
      </w:r>
      <w:r>
        <w:t>B．①④</w:t>
      </w:r>
      <w:r>
        <w:tab/>
      </w:r>
      <w:r>
        <w:t>C．②③</w:t>
      </w:r>
      <w:r>
        <w:rPr>
          <w:rFonts w:hint="eastAsia"/>
          <w:lang w:val="en-US" w:eastAsia="zh-CN"/>
        </w:rPr>
        <w:t xml:space="preserve">  </w:t>
      </w:r>
      <w:r>
        <w:t>D．③④</w:t>
      </w:r>
    </w:p>
    <w:p w14:paraId="18962DE2">
      <w:pPr>
        <w:keepNext w:val="0"/>
        <w:keepLines w:val="0"/>
        <w:pageBreakBefore w:val="0"/>
        <w:widowControl w:val="0"/>
        <w:kinsoku/>
        <w:wordWrap/>
        <w:overflowPunct/>
        <w:topLinePunct w:val="0"/>
        <w:autoSpaceDE/>
        <w:autoSpaceDN/>
        <w:bidi w:val="0"/>
        <w:adjustRightInd/>
        <w:snapToGrid/>
        <w:spacing w:line="240" w:lineRule="auto"/>
        <w:jc w:val="left"/>
        <w:textAlignment w:val="center"/>
        <w:rPr>
          <w:rFonts w:hint="eastAsia" w:ascii="宋体" w:hAnsi="宋体" w:cs="宋体"/>
          <w:b/>
          <w:color w:val="000000"/>
        </w:rPr>
      </w:pPr>
      <w:r>
        <w:rPr>
          <w:rFonts w:ascii="宋体" w:hAnsi="宋体" w:cs="宋体"/>
          <w:b/>
          <w:color w:val="000000"/>
        </w:rPr>
        <w:t>二、主观题</w:t>
      </w:r>
    </w:p>
    <w:p w14:paraId="037798E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17．阅读材料，完成下列要求。</w:t>
      </w:r>
    </w:p>
    <w:p w14:paraId="74596CD3">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近几年，随着人口结构的不断转变，我国60岁以上人口已超过2.6亿，如何保障好老年群体的生活质量已成为关乎社会稳定和发展的重要问题。目前，我国社区养老服务设施已覆盖全部城镇社区和50%以上的农村社区，为此，民政部门将牵头健全农村养老服务保障制度，积极为低收入、高龄、独居、残疾、失能农村老年人提供养老服务；随着经济发展，我国养老金逐年上调，实现“十九连涨”，各类用人单位要依法为职工缴纳社会保险，不得随意少缴、漏缴与缓缴，切实维护职工合法权益；我国建立起世界上规模最大的基本医疗保障网，参保人数超过13.5亿人，参保率稳定在95%以上……“底线”加紧筑牢，“保障网”更为坚实，让人民群众更多分享改革发展成果。</w:t>
      </w:r>
    </w:p>
    <w:p w14:paraId="1EC7DB1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结合材料，运用社会保障的相关知识，谈谈如何完善社会保障体系以更好地保障好老年群体的生活质量。</w:t>
      </w:r>
    </w:p>
    <w:p w14:paraId="23F5E0F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0D1ABDD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00278EE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6529C6D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4F0466B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672BFEA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4E9D2A3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3D75EA3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4ADD47A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3542048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3D0D393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03FBA61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091F8A6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p>
    <w:p w14:paraId="573F6EA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w:t>
      </w:r>
      <w:r>
        <w:rPr>
          <w:rFonts w:hint="eastAsia"/>
          <w:lang w:val="en-US" w:eastAsia="zh-CN"/>
        </w:rPr>
        <w:t>8</w:t>
      </w:r>
      <w:r>
        <w:t>．阅读材料，完成下列要求。</w:t>
      </w:r>
    </w:p>
    <w:p w14:paraId="03FC73CE">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pPr>
      <w:r>
        <w:rPr>
          <w:rFonts w:ascii="楷体" w:hAnsi="楷体" w:eastAsia="楷体" w:cs="楷体"/>
        </w:rPr>
        <w:t>进入新世纪后，我国社会保障体系得到了加强，取得了重大进展，但同时也存在很多问题，需要进一步发展和完善。一是社会保障投入过少。农村居民所享受的社会保障份额较少，资源分配的不公平必然会影响我国经济的稳定发展。二是制度建设存在“空白区域”。三是覆盖范围小，待遇水平低。如我国基本医疗保险制度的享受主体主要是城市居民。就养老保险而言，我国农村居民大多依赖家庭保障，要么靠子女、配偶供养，要么靠自己极少的劳动收入来养老。此外，农村居民的最低生活保障福利较低，群体较少，甚至有些地区没有真正实施这一政策。四是筹资能力较弱。农村居民社会保障意识普遍不高。</w:t>
      </w:r>
    </w:p>
    <w:p w14:paraId="75A82C4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结合材料，运用《经济与社会》的相关知识，谈谈如何完善社会保障体系。</w:t>
      </w:r>
    </w:p>
    <w:p w14:paraId="65281F11">
      <w:pPr>
        <w:jc w:val="center"/>
        <w:textAlignment w:val="center"/>
        <w:rPr>
          <w:rFonts w:ascii="宋体" w:hAnsi="宋体" w:cs="宋体"/>
          <w:b/>
          <w:color w:val="000000"/>
        </w:rPr>
      </w:pPr>
    </w:p>
    <w:p w14:paraId="71F0B197">
      <w:pPr>
        <w:jc w:val="center"/>
        <w:textAlignment w:val="center"/>
        <w:rPr>
          <w:rFonts w:ascii="宋体" w:hAnsi="宋体" w:cs="宋体"/>
          <w:b/>
          <w:color w:val="000000"/>
        </w:rPr>
      </w:pPr>
    </w:p>
    <w:p w14:paraId="75FE265F">
      <w:pPr>
        <w:jc w:val="center"/>
        <w:textAlignment w:val="center"/>
        <w:rPr>
          <w:rFonts w:ascii="宋体" w:hAnsi="宋体" w:cs="宋体"/>
          <w:b/>
          <w:color w:val="000000"/>
        </w:rPr>
      </w:pPr>
    </w:p>
    <w:p w14:paraId="35AC6201">
      <w:pPr>
        <w:jc w:val="center"/>
        <w:textAlignment w:val="center"/>
        <w:rPr>
          <w:rFonts w:ascii="宋体" w:hAnsi="宋体" w:cs="宋体"/>
          <w:b/>
          <w:color w:val="000000"/>
        </w:rPr>
      </w:pPr>
    </w:p>
    <w:p w14:paraId="5CE9901E">
      <w:pPr>
        <w:jc w:val="center"/>
        <w:textAlignment w:val="center"/>
        <w:rPr>
          <w:rFonts w:ascii="宋体" w:hAnsi="宋体" w:cs="宋体"/>
          <w:b/>
          <w:color w:val="000000"/>
        </w:rPr>
      </w:pPr>
    </w:p>
    <w:p w14:paraId="65F4C604">
      <w:pPr>
        <w:jc w:val="center"/>
        <w:textAlignment w:val="center"/>
        <w:rPr>
          <w:rFonts w:ascii="宋体" w:hAnsi="宋体" w:cs="宋体"/>
          <w:b/>
          <w:color w:val="000000"/>
        </w:rPr>
      </w:pPr>
    </w:p>
    <w:p w14:paraId="11ADB8D6">
      <w:pPr>
        <w:jc w:val="center"/>
        <w:textAlignment w:val="center"/>
        <w:rPr>
          <w:rFonts w:ascii="宋体" w:hAnsi="宋体" w:cs="宋体"/>
          <w:b/>
          <w:color w:val="000000"/>
        </w:rPr>
      </w:pPr>
    </w:p>
    <w:p w14:paraId="6A250443">
      <w:pPr>
        <w:jc w:val="center"/>
        <w:textAlignment w:val="center"/>
        <w:rPr>
          <w:rFonts w:ascii="宋体" w:hAnsi="宋体" w:cs="宋体"/>
          <w:b/>
          <w:color w:val="000000"/>
        </w:rPr>
      </w:pPr>
    </w:p>
    <w:p w14:paraId="5191E7F2">
      <w:pPr>
        <w:jc w:val="center"/>
        <w:textAlignment w:val="center"/>
        <w:rPr>
          <w:rFonts w:ascii="宋体" w:hAnsi="宋体" w:cs="宋体"/>
          <w:b/>
          <w:color w:val="000000"/>
        </w:rPr>
      </w:pPr>
    </w:p>
    <w:p w14:paraId="4AFCB771">
      <w:pPr>
        <w:jc w:val="center"/>
        <w:textAlignment w:val="center"/>
        <w:rPr>
          <w:rFonts w:ascii="宋体" w:hAnsi="宋体" w:cs="宋体"/>
          <w:b/>
          <w:color w:val="000000"/>
        </w:rPr>
      </w:pPr>
    </w:p>
    <w:p w14:paraId="5755BF26">
      <w:pPr>
        <w:jc w:val="center"/>
        <w:textAlignment w:val="center"/>
        <w:rPr>
          <w:rFonts w:ascii="宋体" w:hAnsi="宋体" w:cs="宋体"/>
          <w:b/>
          <w:color w:val="000000"/>
        </w:rPr>
      </w:pPr>
    </w:p>
    <w:p w14:paraId="7AD27FBC">
      <w:pPr>
        <w:jc w:val="center"/>
        <w:textAlignment w:val="center"/>
        <w:rPr>
          <w:rFonts w:ascii="宋体" w:hAnsi="宋体" w:cs="宋体"/>
          <w:b/>
          <w:color w:val="000000"/>
        </w:rPr>
      </w:pPr>
    </w:p>
    <w:p w14:paraId="676220B1">
      <w:pPr>
        <w:jc w:val="center"/>
        <w:textAlignment w:val="center"/>
        <w:rPr>
          <w:rFonts w:ascii="宋体" w:hAnsi="宋体" w:cs="宋体"/>
          <w:b/>
          <w:color w:val="000000"/>
        </w:rPr>
      </w:pPr>
    </w:p>
    <w:p w14:paraId="4AE63D11">
      <w:pPr>
        <w:jc w:val="center"/>
        <w:textAlignment w:val="center"/>
        <w:rPr>
          <w:rFonts w:ascii="宋体" w:hAnsi="宋体" w:cs="宋体"/>
          <w:b/>
          <w:color w:val="000000"/>
        </w:rPr>
      </w:pPr>
    </w:p>
    <w:p w14:paraId="5FA85264">
      <w:pPr>
        <w:jc w:val="center"/>
        <w:textAlignment w:val="center"/>
        <w:rPr>
          <w:rFonts w:ascii="宋体" w:hAnsi="宋体" w:cs="宋体"/>
          <w:b/>
          <w:color w:val="000000"/>
        </w:rPr>
      </w:pPr>
    </w:p>
    <w:p w14:paraId="410C0F46">
      <w:pPr>
        <w:jc w:val="center"/>
        <w:textAlignment w:val="center"/>
        <w:rPr>
          <w:rFonts w:ascii="宋体" w:hAnsi="宋体" w:cs="宋体"/>
          <w:b/>
          <w:color w:val="000000"/>
        </w:rPr>
      </w:pPr>
    </w:p>
    <w:p w14:paraId="27B18BCD">
      <w:pPr>
        <w:jc w:val="center"/>
        <w:textAlignment w:val="center"/>
        <w:rPr>
          <w:rFonts w:ascii="宋体" w:hAnsi="宋体" w:cs="宋体"/>
          <w:b/>
          <w:color w:val="000000"/>
        </w:rPr>
      </w:pPr>
    </w:p>
    <w:p w14:paraId="1CC46A7B">
      <w:pPr>
        <w:jc w:val="center"/>
        <w:textAlignment w:val="center"/>
        <w:rPr>
          <w:rFonts w:ascii="宋体" w:hAnsi="宋体" w:cs="宋体"/>
          <w:b/>
          <w:color w:val="000000"/>
        </w:rPr>
      </w:pPr>
    </w:p>
    <w:p w14:paraId="76C7D16B">
      <w:pPr>
        <w:jc w:val="center"/>
        <w:textAlignment w:val="center"/>
        <w:rPr>
          <w:rFonts w:ascii="宋体" w:hAnsi="宋体" w:cs="宋体"/>
          <w:b/>
          <w:color w:val="000000"/>
        </w:rPr>
      </w:pPr>
    </w:p>
    <w:p w14:paraId="7C889DD8">
      <w:pPr>
        <w:jc w:val="both"/>
        <w:textAlignment w:val="center"/>
        <w:rPr>
          <w:rFonts w:ascii="宋体" w:hAnsi="宋体" w:cs="宋体"/>
          <w:b/>
          <w:color w:val="000000"/>
        </w:rPr>
      </w:pPr>
    </w:p>
    <w:p w14:paraId="2885435E">
      <w:pPr>
        <w:jc w:val="center"/>
        <w:textAlignment w:val="center"/>
        <w:rPr>
          <w:rFonts w:hint="eastAsia" w:ascii="宋体" w:hAnsi="宋体" w:cs="宋体"/>
          <w:b/>
          <w:color w:val="000000"/>
        </w:rPr>
      </w:pPr>
      <w:r>
        <w:rPr>
          <w:rFonts w:ascii="宋体" w:hAnsi="宋体" w:cs="宋体"/>
          <w:b/>
          <w:color w:val="000000"/>
        </w:rPr>
        <w:t>参考答案：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1"/>
        <w:gridCol w:w="611"/>
        <w:gridCol w:w="611"/>
        <w:gridCol w:w="611"/>
        <w:gridCol w:w="611"/>
        <w:gridCol w:w="611"/>
        <w:gridCol w:w="611"/>
        <w:gridCol w:w="611"/>
        <w:gridCol w:w="611"/>
        <w:gridCol w:w="611"/>
        <w:gridCol w:w="611"/>
      </w:tblGrid>
      <w:tr w14:paraId="4B21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2EFA15C6">
            <w:pPr>
              <w:jc w:val="center"/>
              <w:textAlignment w:val="center"/>
              <w:rPr>
                <w:rFonts w:hint="eastAsia" w:ascii="宋体" w:hAnsi="宋体" w:cs="宋体"/>
                <w:b/>
                <w:color w:val="000000"/>
              </w:rPr>
            </w:pPr>
            <w:r>
              <w:rPr>
                <w:rFonts w:ascii="宋体" w:hAnsi="宋体" w:cs="宋体"/>
                <w:b/>
                <w:color w:val="000000"/>
              </w:rPr>
              <w:t>题号</w:t>
            </w:r>
          </w:p>
        </w:tc>
        <w:tc>
          <w:tcPr>
            <w:tcW w:w="454" w:type="pct"/>
            <w:tcMar>
              <w:top w:w="0" w:type="dxa"/>
              <w:bottom w:w="0" w:type="dxa"/>
            </w:tcMar>
          </w:tcPr>
          <w:p w14:paraId="0773AD6A">
            <w:pPr>
              <w:jc w:val="center"/>
              <w:textAlignment w:val="center"/>
              <w:rPr>
                <w:rFonts w:hint="eastAsia" w:ascii="宋体" w:hAnsi="宋体" w:cs="宋体"/>
                <w:color w:val="000000"/>
              </w:rPr>
            </w:pPr>
            <w:r>
              <w:rPr>
                <w:rFonts w:ascii="宋体" w:hAnsi="宋体" w:cs="宋体"/>
                <w:color w:val="000000"/>
              </w:rPr>
              <w:t>1</w:t>
            </w:r>
          </w:p>
        </w:tc>
        <w:tc>
          <w:tcPr>
            <w:tcW w:w="454" w:type="pct"/>
            <w:tcMar>
              <w:top w:w="0" w:type="dxa"/>
              <w:bottom w:w="0" w:type="dxa"/>
            </w:tcMar>
          </w:tcPr>
          <w:p w14:paraId="653F1EDF">
            <w:pPr>
              <w:jc w:val="center"/>
              <w:textAlignment w:val="center"/>
              <w:rPr>
                <w:rFonts w:hint="eastAsia" w:ascii="宋体" w:hAnsi="宋体" w:cs="宋体"/>
                <w:color w:val="000000"/>
              </w:rPr>
            </w:pPr>
            <w:r>
              <w:rPr>
                <w:rFonts w:ascii="宋体" w:hAnsi="宋体" w:cs="宋体"/>
                <w:color w:val="000000"/>
              </w:rPr>
              <w:t>2</w:t>
            </w:r>
          </w:p>
        </w:tc>
        <w:tc>
          <w:tcPr>
            <w:tcW w:w="454" w:type="pct"/>
            <w:tcMar>
              <w:top w:w="0" w:type="dxa"/>
              <w:bottom w:w="0" w:type="dxa"/>
            </w:tcMar>
          </w:tcPr>
          <w:p w14:paraId="14894D5A">
            <w:pPr>
              <w:jc w:val="center"/>
              <w:textAlignment w:val="center"/>
              <w:rPr>
                <w:rFonts w:hint="eastAsia" w:ascii="宋体" w:hAnsi="宋体" w:cs="宋体"/>
                <w:color w:val="000000"/>
              </w:rPr>
            </w:pPr>
            <w:r>
              <w:rPr>
                <w:rFonts w:ascii="宋体" w:hAnsi="宋体" w:cs="宋体"/>
                <w:color w:val="000000"/>
              </w:rPr>
              <w:t>3</w:t>
            </w:r>
          </w:p>
        </w:tc>
        <w:tc>
          <w:tcPr>
            <w:tcW w:w="454" w:type="pct"/>
            <w:tcMar>
              <w:top w:w="0" w:type="dxa"/>
              <w:bottom w:w="0" w:type="dxa"/>
            </w:tcMar>
          </w:tcPr>
          <w:p w14:paraId="625C6CE8">
            <w:pPr>
              <w:jc w:val="center"/>
              <w:textAlignment w:val="center"/>
              <w:rPr>
                <w:rFonts w:hint="eastAsia" w:ascii="宋体" w:hAnsi="宋体" w:cs="宋体"/>
                <w:color w:val="000000"/>
              </w:rPr>
            </w:pPr>
            <w:r>
              <w:rPr>
                <w:rFonts w:ascii="宋体" w:hAnsi="宋体" w:cs="宋体"/>
                <w:color w:val="000000"/>
              </w:rPr>
              <w:t>4</w:t>
            </w:r>
          </w:p>
        </w:tc>
        <w:tc>
          <w:tcPr>
            <w:tcW w:w="454" w:type="pct"/>
            <w:tcMar>
              <w:top w:w="0" w:type="dxa"/>
              <w:bottom w:w="0" w:type="dxa"/>
            </w:tcMar>
          </w:tcPr>
          <w:p w14:paraId="61F211DB">
            <w:pPr>
              <w:jc w:val="center"/>
              <w:textAlignment w:val="center"/>
              <w:rPr>
                <w:rFonts w:hint="eastAsia" w:ascii="宋体" w:hAnsi="宋体" w:cs="宋体"/>
                <w:color w:val="000000"/>
              </w:rPr>
            </w:pPr>
            <w:r>
              <w:rPr>
                <w:rFonts w:ascii="宋体" w:hAnsi="宋体" w:cs="宋体"/>
                <w:color w:val="000000"/>
              </w:rPr>
              <w:t>5</w:t>
            </w:r>
          </w:p>
        </w:tc>
        <w:tc>
          <w:tcPr>
            <w:tcW w:w="454" w:type="pct"/>
            <w:tcMar>
              <w:top w:w="0" w:type="dxa"/>
              <w:bottom w:w="0" w:type="dxa"/>
            </w:tcMar>
          </w:tcPr>
          <w:p w14:paraId="0D7435A5">
            <w:pPr>
              <w:jc w:val="center"/>
              <w:textAlignment w:val="center"/>
              <w:rPr>
                <w:rFonts w:hint="eastAsia" w:ascii="宋体" w:hAnsi="宋体" w:cs="宋体"/>
                <w:color w:val="000000"/>
              </w:rPr>
            </w:pPr>
            <w:r>
              <w:rPr>
                <w:rFonts w:ascii="宋体" w:hAnsi="宋体" w:cs="宋体"/>
                <w:color w:val="000000"/>
              </w:rPr>
              <w:t>6</w:t>
            </w:r>
          </w:p>
        </w:tc>
        <w:tc>
          <w:tcPr>
            <w:tcW w:w="454" w:type="pct"/>
            <w:tcMar>
              <w:top w:w="0" w:type="dxa"/>
              <w:bottom w:w="0" w:type="dxa"/>
            </w:tcMar>
          </w:tcPr>
          <w:p w14:paraId="657E8A7B">
            <w:pPr>
              <w:jc w:val="center"/>
              <w:textAlignment w:val="center"/>
              <w:rPr>
                <w:rFonts w:hint="eastAsia" w:ascii="宋体" w:hAnsi="宋体" w:cs="宋体"/>
                <w:color w:val="000000"/>
              </w:rPr>
            </w:pPr>
            <w:r>
              <w:rPr>
                <w:rFonts w:ascii="宋体" w:hAnsi="宋体" w:cs="宋体"/>
                <w:color w:val="000000"/>
              </w:rPr>
              <w:t>7</w:t>
            </w:r>
          </w:p>
        </w:tc>
        <w:tc>
          <w:tcPr>
            <w:tcW w:w="454" w:type="pct"/>
            <w:tcMar>
              <w:top w:w="0" w:type="dxa"/>
              <w:bottom w:w="0" w:type="dxa"/>
            </w:tcMar>
          </w:tcPr>
          <w:p w14:paraId="43B3833C">
            <w:pPr>
              <w:jc w:val="center"/>
              <w:textAlignment w:val="center"/>
              <w:rPr>
                <w:rFonts w:hint="eastAsia" w:ascii="宋体" w:hAnsi="宋体" w:cs="宋体"/>
                <w:color w:val="000000"/>
              </w:rPr>
            </w:pPr>
            <w:r>
              <w:rPr>
                <w:rFonts w:ascii="宋体" w:hAnsi="宋体" w:cs="宋体"/>
                <w:color w:val="000000"/>
              </w:rPr>
              <w:t>8</w:t>
            </w:r>
          </w:p>
        </w:tc>
        <w:tc>
          <w:tcPr>
            <w:tcW w:w="454" w:type="pct"/>
            <w:tcMar>
              <w:top w:w="0" w:type="dxa"/>
              <w:bottom w:w="0" w:type="dxa"/>
            </w:tcMar>
          </w:tcPr>
          <w:p w14:paraId="74E5894F">
            <w:pPr>
              <w:jc w:val="center"/>
              <w:textAlignment w:val="center"/>
              <w:rPr>
                <w:rFonts w:hint="eastAsia" w:ascii="宋体" w:hAnsi="宋体" w:cs="宋体"/>
                <w:color w:val="000000"/>
              </w:rPr>
            </w:pPr>
            <w:r>
              <w:rPr>
                <w:rFonts w:ascii="宋体" w:hAnsi="宋体" w:cs="宋体"/>
                <w:color w:val="000000"/>
              </w:rPr>
              <w:t>9</w:t>
            </w:r>
          </w:p>
        </w:tc>
        <w:tc>
          <w:tcPr>
            <w:tcW w:w="454" w:type="pct"/>
            <w:tcMar>
              <w:top w:w="0" w:type="dxa"/>
              <w:bottom w:w="0" w:type="dxa"/>
            </w:tcMar>
          </w:tcPr>
          <w:p w14:paraId="2ED76857">
            <w:pPr>
              <w:jc w:val="center"/>
              <w:textAlignment w:val="center"/>
              <w:rPr>
                <w:rFonts w:hint="eastAsia" w:ascii="宋体" w:hAnsi="宋体" w:cs="宋体"/>
                <w:color w:val="000000"/>
              </w:rPr>
            </w:pPr>
            <w:r>
              <w:rPr>
                <w:rFonts w:ascii="宋体" w:hAnsi="宋体" w:cs="宋体"/>
                <w:color w:val="000000"/>
              </w:rPr>
              <w:t>10</w:t>
            </w:r>
          </w:p>
        </w:tc>
      </w:tr>
      <w:tr w14:paraId="1044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10A1B9E1">
            <w:pPr>
              <w:jc w:val="center"/>
              <w:textAlignment w:val="center"/>
              <w:rPr>
                <w:rFonts w:hint="eastAsia" w:ascii="宋体" w:hAnsi="宋体" w:cs="宋体"/>
                <w:b/>
                <w:color w:val="000000"/>
              </w:rPr>
            </w:pPr>
            <w:r>
              <w:rPr>
                <w:rFonts w:ascii="宋体" w:hAnsi="宋体" w:cs="宋体"/>
                <w:b/>
                <w:color w:val="000000"/>
              </w:rPr>
              <w:t>答案</w:t>
            </w:r>
          </w:p>
        </w:tc>
        <w:tc>
          <w:tcPr>
            <w:tcW w:w="454" w:type="pct"/>
            <w:tcMar>
              <w:top w:w="0" w:type="dxa"/>
              <w:bottom w:w="0" w:type="dxa"/>
            </w:tcMar>
          </w:tcPr>
          <w:p w14:paraId="6742F787">
            <w:pPr>
              <w:jc w:val="center"/>
              <w:textAlignment w:val="center"/>
              <w:rPr>
                <w:rFonts w:hint="eastAsia" w:ascii="宋体" w:hAnsi="宋体" w:cs="宋体"/>
                <w:color w:val="000000"/>
              </w:rPr>
            </w:pPr>
            <w:r>
              <w:rPr>
                <w:rFonts w:ascii="宋体" w:hAnsi="宋体" w:cs="宋体"/>
                <w:color w:val="000000"/>
              </w:rPr>
              <w:t>D</w:t>
            </w:r>
          </w:p>
        </w:tc>
        <w:tc>
          <w:tcPr>
            <w:tcW w:w="454" w:type="pct"/>
            <w:tcMar>
              <w:top w:w="0" w:type="dxa"/>
              <w:bottom w:w="0" w:type="dxa"/>
            </w:tcMar>
          </w:tcPr>
          <w:p w14:paraId="70A82F42">
            <w:pPr>
              <w:jc w:val="center"/>
              <w:textAlignment w:val="center"/>
              <w:rPr>
                <w:rFonts w:hint="eastAsia" w:ascii="宋体" w:hAnsi="宋体" w:cs="宋体"/>
                <w:color w:val="000000"/>
              </w:rPr>
            </w:pPr>
            <w:r>
              <w:rPr>
                <w:rFonts w:ascii="宋体" w:hAnsi="宋体" w:cs="宋体"/>
                <w:color w:val="000000"/>
              </w:rPr>
              <w:t>A</w:t>
            </w:r>
          </w:p>
        </w:tc>
        <w:tc>
          <w:tcPr>
            <w:tcW w:w="454" w:type="pct"/>
            <w:tcMar>
              <w:top w:w="0" w:type="dxa"/>
              <w:bottom w:w="0" w:type="dxa"/>
            </w:tcMar>
          </w:tcPr>
          <w:p w14:paraId="4CDFB54B">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22C5562F">
            <w:pPr>
              <w:jc w:val="center"/>
              <w:textAlignment w:val="center"/>
              <w:rPr>
                <w:rFonts w:hint="eastAsia" w:ascii="宋体" w:hAnsi="宋体" w:cs="宋体"/>
                <w:color w:val="000000"/>
              </w:rPr>
            </w:pPr>
            <w:r>
              <w:rPr>
                <w:rFonts w:ascii="宋体" w:hAnsi="宋体" w:cs="宋体"/>
                <w:color w:val="000000"/>
              </w:rPr>
              <w:t>C</w:t>
            </w:r>
          </w:p>
        </w:tc>
        <w:tc>
          <w:tcPr>
            <w:tcW w:w="454" w:type="pct"/>
            <w:tcMar>
              <w:top w:w="0" w:type="dxa"/>
              <w:bottom w:w="0" w:type="dxa"/>
            </w:tcMar>
          </w:tcPr>
          <w:p w14:paraId="5B290E02">
            <w:pPr>
              <w:jc w:val="center"/>
              <w:textAlignment w:val="center"/>
              <w:rPr>
                <w:rFonts w:hint="eastAsia" w:ascii="宋体" w:hAnsi="宋体" w:cs="宋体"/>
                <w:color w:val="000000"/>
              </w:rPr>
            </w:pPr>
            <w:r>
              <w:rPr>
                <w:rFonts w:ascii="宋体" w:hAnsi="宋体" w:cs="宋体"/>
                <w:color w:val="000000"/>
              </w:rPr>
              <w:t>C</w:t>
            </w:r>
          </w:p>
        </w:tc>
        <w:tc>
          <w:tcPr>
            <w:tcW w:w="454" w:type="pct"/>
            <w:tcMar>
              <w:top w:w="0" w:type="dxa"/>
              <w:bottom w:w="0" w:type="dxa"/>
            </w:tcMar>
          </w:tcPr>
          <w:p w14:paraId="61C09302">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64AAB761">
            <w:pPr>
              <w:jc w:val="center"/>
              <w:textAlignment w:val="center"/>
              <w:rPr>
                <w:rFonts w:hint="eastAsia" w:ascii="宋体" w:hAnsi="宋体" w:cs="宋体"/>
                <w:color w:val="000000"/>
              </w:rPr>
            </w:pPr>
            <w:r>
              <w:rPr>
                <w:rFonts w:ascii="宋体" w:hAnsi="宋体" w:cs="宋体"/>
                <w:color w:val="000000"/>
              </w:rPr>
              <w:t>D</w:t>
            </w:r>
          </w:p>
        </w:tc>
        <w:tc>
          <w:tcPr>
            <w:tcW w:w="454" w:type="pct"/>
            <w:tcMar>
              <w:top w:w="0" w:type="dxa"/>
              <w:bottom w:w="0" w:type="dxa"/>
            </w:tcMar>
          </w:tcPr>
          <w:p w14:paraId="32B98E53">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4607815D">
            <w:pPr>
              <w:jc w:val="center"/>
              <w:textAlignment w:val="center"/>
              <w:rPr>
                <w:rFonts w:hint="eastAsia" w:ascii="宋体" w:hAnsi="宋体" w:cs="宋体"/>
                <w:color w:val="000000"/>
              </w:rPr>
            </w:pPr>
            <w:r>
              <w:rPr>
                <w:rFonts w:ascii="宋体" w:hAnsi="宋体" w:cs="宋体"/>
                <w:color w:val="000000"/>
              </w:rPr>
              <w:t>A</w:t>
            </w:r>
          </w:p>
        </w:tc>
        <w:tc>
          <w:tcPr>
            <w:tcW w:w="454" w:type="pct"/>
            <w:tcMar>
              <w:top w:w="0" w:type="dxa"/>
              <w:bottom w:w="0" w:type="dxa"/>
            </w:tcMar>
          </w:tcPr>
          <w:p w14:paraId="69E19340">
            <w:pPr>
              <w:jc w:val="center"/>
              <w:textAlignment w:val="center"/>
              <w:rPr>
                <w:rFonts w:hint="eastAsia" w:ascii="宋体" w:hAnsi="宋体" w:cs="宋体"/>
                <w:color w:val="000000"/>
              </w:rPr>
            </w:pPr>
            <w:r>
              <w:rPr>
                <w:rFonts w:ascii="宋体" w:hAnsi="宋体" w:cs="宋体"/>
                <w:color w:val="000000"/>
              </w:rPr>
              <w:t>D</w:t>
            </w:r>
          </w:p>
        </w:tc>
      </w:tr>
      <w:tr w14:paraId="2DFB2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64A94676">
            <w:pPr>
              <w:jc w:val="center"/>
              <w:textAlignment w:val="center"/>
              <w:rPr>
                <w:rFonts w:hint="eastAsia" w:ascii="宋体" w:hAnsi="宋体" w:cs="宋体"/>
                <w:b/>
                <w:color w:val="000000"/>
              </w:rPr>
            </w:pPr>
            <w:r>
              <w:rPr>
                <w:rFonts w:ascii="宋体" w:hAnsi="宋体" w:cs="宋体"/>
                <w:b/>
                <w:color w:val="000000"/>
              </w:rPr>
              <w:t>题号</w:t>
            </w:r>
          </w:p>
        </w:tc>
        <w:tc>
          <w:tcPr>
            <w:tcW w:w="454" w:type="pct"/>
            <w:tcMar>
              <w:top w:w="0" w:type="dxa"/>
              <w:bottom w:w="0" w:type="dxa"/>
            </w:tcMar>
          </w:tcPr>
          <w:p w14:paraId="634C257C">
            <w:pPr>
              <w:jc w:val="center"/>
              <w:textAlignment w:val="center"/>
              <w:rPr>
                <w:rFonts w:hint="eastAsia" w:ascii="宋体" w:hAnsi="宋体" w:cs="宋体"/>
                <w:color w:val="000000"/>
              </w:rPr>
            </w:pPr>
            <w:r>
              <w:rPr>
                <w:rFonts w:ascii="宋体" w:hAnsi="宋体" w:cs="宋体"/>
                <w:color w:val="000000"/>
              </w:rPr>
              <w:t>11</w:t>
            </w:r>
          </w:p>
        </w:tc>
        <w:tc>
          <w:tcPr>
            <w:tcW w:w="454" w:type="pct"/>
            <w:tcMar>
              <w:top w:w="0" w:type="dxa"/>
              <w:bottom w:w="0" w:type="dxa"/>
            </w:tcMar>
          </w:tcPr>
          <w:p w14:paraId="0573CE0D">
            <w:pPr>
              <w:jc w:val="center"/>
              <w:textAlignment w:val="center"/>
              <w:rPr>
                <w:rFonts w:hint="eastAsia" w:ascii="宋体" w:hAnsi="宋体" w:cs="宋体"/>
                <w:color w:val="000000"/>
              </w:rPr>
            </w:pPr>
            <w:r>
              <w:rPr>
                <w:rFonts w:ascii="宋体" w:hAnsi="宋体" w:cs="宋体"/>
                <w:color w:val="000000"/>
              </w:rPr>
              <w:t>12</w:t>
            </w:r>
          </w:p>
        </w:tc>
        <w:tc>
          <w:tcPr>
            <w:tcW w:w="454" w:type="pct"/>
            <w:tcMar>
              <w:top w:w="0" w:type="dxa"/>
              <w:bottom w:w="0" w:type="dxa"/>
            </w:tcMar>
          </w:tcPr>
          <w:p w14:paraId="5B0166D2">
            <w:pPr>
              <w:jc w:val="center"/>
              <w:textAlignment w:val="center"/>
              <w:rPr>
                <w:rFonts w:hint="eastAsia" w:ascii="宋体" w:hAnsi="宋体" w:cs="宋体"/>
                <w:color w:val="000000"/>
              </w:rPr>
            </w:pPr>
            <w:r>
              <w:rPr>
                <w:rFonts w:ascii="宋体" w:hAnsi="宋体" w:cs="宋体"/>
                <w:color w:val="000000"/>
              </w:rPr>
              <w:t>13</w:t>
            </w:r>
          </w:p>
        </w:tc>
        <w:tc>
          <w:tcPr>
            <w:tcW w:w="454" w:type="pct"/>
            <w:tcMar>
              <w:top w:w="0" w:type="dxa"/>
              <w:bottom w:w="0" w:type="dxa"/>
            </w:tcMar>
          </w:tcPr>
          <w:p w14:paraId="6A179E36">
            <w:pPr>
              <w:jc w:val="center"/>
              <w:textAlignment w:val="center"/>
              <w:rPr>
                <w:rFonts w:hint="eastAsia" w:ascii="宋体" w:hAnsi="宋体" w:cs="宋体"/>
                <w:color w:val="000000"/>
              </w:rPr>
            </w:pPr>
            <w:r>
              <w:rPr>
                <w:rFonts w:ascii="宋体" w:hAnsi="宋体" w:cs="宋体"/>
                <w:color w:val="000000"/>
              </w:rPr>
              <w:t>14</w:t>
            </w:r>
          </w:p>
        </w:tc>
        <w:tc>
          <w:tcPr>
            <w:tcW w:w="454" w:type="pct"/>
            <w:tcMar>
              <w:top w:w="0" w:type="dxa"/>
              <w:bottom w:w="0" w:type="dxa"/>
            </w:tcMar>
          </w:tcPr>
          <w:p w14:paraId="5E79CE1F">
            <w:pPr>
              <w:jc w:val="center"/>
              <w:textAlignment w:val="center"/>
              <w:rPr>
                <w:rFonts w:hint="eastAsia" w:ascii="宋体" w:hAnsi="宋体" w:cs="宋体"/>
                <w:color w:val="000000"/>
              </w:rPr>
            </w:pPr>
            <w:r>
              <w:rPr>
                <w:rFonts w:ascii="宋体" w:hAnsi="宋体" w:cs="宋体"/>
                <w:color w:val="000000"/>
              </w:rPr>
              <w:t>15</w:t>
            </w:r>
          </w:p>
        </w:tc>
        <w:tc>
          <w:tcPr>
            <w:tcW w:w="454" w:type="pct"/>
            <w:tcMar>
              <w:top w:w="0" w:type="dxa"/>
              <w:bottom w:w="0" w:type="dxa"/>
            </w:tcMar>
          </w:tcPr>
          <w:p w14:paraId="3969C133">
            <w:pPr>
              <w:jc w:val="center"/>
              <w:textAlignment w:val="center"/>
              <w:rPr>
                <w:rFonts w:hint="eastAsia" w:ascii="宋体" w:hAnsi="宋体" w:cs="宋体"/>
                <w:color w:val="000000"/>
              </w:rPr>
            </w:pPr>
            <w:r>
              <w:rPr>
                <w:rFonts w:ascii="宋体" w:hAnsi="宋体" w:cs="宋体"/>
                <w:color w:val="000000"/>
              </w:rPr>
              <w:t>16</w:t>
            </w:r>
          </w:p>
        </w:tc>
        <w:tc>
          <w:tcPr>
            <w:tcW w:w="454" w:type="pct"/>
            <w:tcMar>
              <w:top w:w="0" w:type="dxa"/>
              <w:bottom w:w="0" w:type="dxa"/>
            </w:tcMar>
          </w:tcPr>
          <w:p w14:paraId="4F041696">
            <w:pPr>
              <w:jc w:val="center"/>
              <w:textAlignment w:val="center"/>
              <w:rPr>
                <w:rFonts w:hint="eastAsia" w:ascii="宋体" w:hAnsi="宋体" w:cs="宋体"/>
                <w:color w:val="000000"/>
              </w:rPr>
            </w:pPr>
            <w:r>
              <w:rPr>
                <w:rFonts w:ascii="宋体" w:hAnsi="宋体" w:cs="宋体"/>
                <w:color w:val="000000"/>
              </w:rPr>
              <w:t xml:space="preserve"> </w:t>
            </w:r>
          </w:p>
        </w:tc>
        <w:tc>
          <w:tcPr>
            <w:tcW w:w="454" w:type="pct"/>
            <w:tcMar>
              <w:top w:w="0" w:type="dxa"/>
              <w:bottom w:w="0" w:type="dxa"/>
            </w:tcMar>
          </w:tcPr>
          <w:p w14:paraId="21C6CB7F">
            <w:pPr>
              <w:jc w:val="center"/>
              <w:textAlignment w:val="center"/>
              <w:rPr>
                <w:rFonts w:hint="eastAsia" w:ascii="宋体" w:hAnsi="宋体" w:cs="宋体"/>
                <w:color w:val="000000"/>
              </w:rPr>
            </w:pPr>
            <w:r>
              <w:rPr>
                <w:rFonts w:ascii="宋体" w:hAnsi="宋体" w:cs="宋体"/>
                <w:color w:val="000000"/>
              </w:rPr>
              <w:t xml:space="preserve"> </w:t>
            </w:r>
          </w:p>
        </w:tc>
        <w:tc>
          <w:tcPr>
            <w:tcW w:w="454" w:type="pct"/>
            <w:tcMar>
              <w:top w:w="0" w:type="dxa"/>
              <w:bottom w:w="0" w:type="dxa"/>
            </w:tcMar>
          </w:tcPr>
          <w:p w14:paraId="4AE44E5D">
            <w:pPr>
              <w:jc w:val="center"/>
              <w:textAlignment w:val="center"/>
              <w:rPr>
                <w:rFonts w:hint="eastAsia" w:ascii="宋体" w:hAnsi="宋体" w:cs="宋体"/>
                <w:color w:val="000000"/>
              </w:rPr>
            </w:pPr>
            <w:r>
              <w:rPr>
                <w:rFonts w:ascii="宋体" w:hAnsi="宋体" w:cs="宋体"/>
                <w:color w:val="000000"/>
              </w:rPr>
              <w:t xml:space="preserve"> </w:t>
            </w:r>
          </w:p>
        </w:tc>
        <w:tc>
          <w:tcPr>
            <w:tcW w:w="454" w:type="pct"/>
            <w:tcMar>
              <w:top w:w="0" w:type="dxa"/>
              <w:bottom w:w="0" w:type="dxa"/>
            </w:tcMar>
          </w:tcPr>
          <w:p w14:paraId="3C2A1259">
            <w:pPr>
              <w:jc w:val="center"/>
              <w:textAlignment w:val="center"/>
              <w:rPr>
                <w:rFonts w:hint="eastAsia" w:ascii="宋体" w:hAnsi="宋体" w:cs="宋体"/>
                <w:color w:val="000000"/>
              </w:rPr>
            </w:pPr>
            <w:r>
              <w:rPr>
                <w:rFonts w:ascii="宋体" w:hAnsi="宋体" w:cs="宋体"/>
                <w:color w:val="000000"/>
              </w:rPr>
              <w:t xml:space="preserve"> </w:t>
            </w:r>
          </w:p>
        </w:tc>
      </w:tr>
      <w:tr w14:paraId="431A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14:paraId="489B6E6F">
            <w:pPr>
              <w:jc w:val="center"/>
              <w:textAlignment w:val="center"/>
              <w:rPr>
                <w:rFonts w:hint="eastAsia" w:ascii="宋体" w:hAnsi="宋体" w:cs="宋体"/>
                <w:b/>
                <w:color w:val="000000"/>
              </w:rPr>
            </w:pPr>
            <w:r>
              <w:rPr>
                <w:rFonts w:ascii="宋体" w:hAnsi="宋体" w:cs="宋体"/>
                <w:b/>
                <w:color w:val="000000"/>
              </w:rPr>
              <w:t>答案</w:t>
            </w:r>
          </w:p>
        </w:tc>
        <w:tc>
          <w:tcPr>
            <w:tcW w:w="454" w:type="pct"/>
            <w:tcMar>
              <w:top w:w="0" w:type="dxa"/>
              <w:bottom w:w="0" w:type="dxa"/>
            </w:tcMar>
          </w:tcPr>
          <w:p w14:paraId="2A8B8031">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15A0AAB0">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7D2BFAFB">
            <w:pPr>
              <w:jc w:val="center"/>
              <w:textAlignment w:val="center"/>
              <w:rPr>
                <w:rFonts w:hint="eastAsia" w:ascii="宋体" w:hAnsi="宋体" w:cs="宋体"/>
                <w:color w:val="000000"/>
              </w:rPr>
            </w:pPr>
            <w:r>
              <w:rPr>
                <w:rFonts w:ascii="宋体" w:hAnsi="宋体" w:cs="宋体"/>
                <w:color w:val="000000"/>
              </w:rPr>
              <w:t>A</w:t>
            </w:r>
          </w:p>
        </w:tc>
        <w:tc>
          <w:tcPr>
            <w:tcW w:w="454" w:type="pct"/>
            <w:tcMar>
              <w:top w:w="0" w:type="dxa"/>
              <w:bottom w:w="0" w:type="dxa"/>
            </w:tcMar>
          </w:tcPr>
          <w:p w14:paraId="5C2A53EF">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605759A0">
            <w:pPr>
              <w:jc w:val="center"/>
              <w:textAlignment w:val="center"/>
              <w:rPr>
                <w:rFonts w:hint="eastAsia" w:ascii="宋体" w:hAnsi="宋体" w:cs="宋体"/>
                <w:color w:val="000000"/>
              </w:rPr>
            </w:pPr>
            <w:r>
              <w:rPr>
                <w:rFonts w:ascii="宋体" w:hAnsi="宋体" w:cs="宋体"/>
                <w:color w:val="000000"/>
              </w:rPr>
              <w:t>D</w:t>
            </w:r>
          </w:p>
        </w:tc>
        <w:tc>
          <w:tcPr>
            <w:tcW w:w="454" w:type="pct"/>
            <w:tcMar>
              <w:top w:w="0" w:type="dxa"/>
              <w:bottom w:w="0" w:type="dxa"/>
            </w:tcMar>
          </w:tcPr>
          <w:p w14:paraId="4FBDA1CB">
            <w:pPr>
              <w:jc w:val="center"/>
              <w:textAlignment w:val="center"/>
              <w:rPr>
                <w:rFonts w:hint="eastAsia" w:ascii="宋体" w:hAnsi="宋体" w:cs="宋体"/>
                <w:color w:val="000000"/>
              </w:rPr>
            </w:pPr>
            <w:r>
              <w:rPr>
                <w:rFonts w:ascii="宋体" w:hAnsi="宋体" w:cs="宋体"/>
                <w:color w:val="000000"/>
              </w:rPr>
              <w:t>B</w:t>
            </w:r>
          </w:p>
        </w:tc>
        <w:tc>
          <w:tcPr>
            <w:tcW w:w="454" w:type="pct"/>
            <w:tcMar>
              <w:top w:w="0" w:type="dxa"/>
              <w:bottom w:w="0" w:type="dxa"/>
            </w:tcMar>
          </w:tcPr>
          <w:p w14:paraId="3936D8FA">
            <w:pPr>
              <w:jc w:val="center"/>
              <w:textAlignment w:val="center"/>
              <w:rPr>
                <w:rFonts w:hint="eastAsia" w:ascii="宋体" w:hAnsi="宋体" w:cs="宋体"/>
                <w:color w:val="000000"/>
              </w:rPr>
            </w:pPr>
            <w:r>
              <w:rPr>
                <w:rFonts w:ascii="宋体" w:hAnsi="宋体" w:cs="宋体"/>
                <w:color w:val="000000"/>
              </w:rPr>
              <w:t xml:space="preserve"> </w:t>
            </w:r>
          </w:p>
        </w:tc>
        <w:tc>
          <w:tcPr>
            <w:tcW w:w="454" w:type="pct"/>
            <w:tcMar>
              <w:top w:w="0" w:type="dxa"/>
              <w:bottom w:w="0" w:type="dxa"/>
            </w:tcMar>
          </w:tcPr>
          <w:p w14:paraId="62E9ACC8">
            <w:pPr>
              <w:jc w:val="center"/>
              <w:textAlignment w:val="center"/>
              <w:rPr>
                <w:rFonts w:hint="eastAsia" w:ascii="宋体" w:hAnsi="宋体" w:cs="宋体"/>
                <w:color w:val="000000"/>
              </w:rPr>
            </w:pPr>
            <w:r>
              <w:rPr>
                <w:rFonts w:ascii="宋体" w:hAnsi="宋体" w:cs="宋体"/>
                <w:color w:val="000000"/>
              </w:rPr>
              <w:t xml:space="preserve"> </w:t>
            </w:r>
          </w:p>
        </w:tc>
        <w:tc>
          <w:tcPr>
            <w:tcW w:w="454" w:type="pct"/>
            <w:tcMar>
              <w:top w:w="0" w:type="dxa"/>
              <w:bottom w:w="0" w:type="dxa"/>
            </w:tcMar>
          </w:tcPr>
          <w:p w14:paraId="4A2AB554">
            <w:pPr>
              <w:jc w:val="center"/>
              <w:textAlignment w:val="center"/>
              <w:rPr>
                <w:rFonts w:hint="eastAsia" w:ascii="宋体" w:hAnsi="宋体" w:cs="宋体"/>
                <w:color w:val="000000"/>
              </w:rPr>
            </w:pPr>
            <w:r>
              <w:rPr>
                <w:rFonts w:ascii="宋体" w:hAnsi="宋体" w:cs="宋体"/>
                <w:color w:val="000000"/>
              </w:rPr>
              <w:t xml:space="preserve"> </w:t>
            </w:r>
          </w:p>
        </w:tc>
        <w:tc>
          <w:tcPr>
            <w:tcW w:w="454" w:type="pct"/>
            <w:tcMar>
              <w:top w:w="0" w:type="dxa"/>
              <w:bottom w:w="0" w:type="dxa"/>
            </w:tcMar>
          </w:tcPr>
          <w:p w14:paraId="32F7B089">
            <w:pPr>
              <w:jc w:val="center"/>
              <w:textAlignment w:val="center"/>
              <w:rPr>
                <w:rFonts w:hint="eastAsia" w:ascii="宋体" w:hAnsi="宋体" w:cs="宋体"/>
                <w:color w:val="000000"/>
              </w:rPr>
            </w:pPr>
            <w:r>
              <w:rPr>
                <w:rFonts w:ascii="宋体" w:hAnsi="宋体" w:cs="宋体"/>
                <w:color w:val="000000"/>
              </w:rPr>
              <w:t xml:space="preserve"> </w:t>
            </w:r>
          </w:p>
        </w:tc>
      </w:tr>
    </w:tbl>
    <w:p w14:paraId="2A3ADB85">
      <w:pPr>
        <w:jc w:val="center"/>
        <w:textAlignment w:val="center"/>
        <w:rPr>
          <w:rFonts w:hint="eastAsia" w:ascii="宋体" w:hAnsi="宋体" w:cs="宋体"/>
          <w:b/>
          <w:color w:val="000000"/>
        </w:rPr>
      </w:pPr>
    </w:p>
    <w:p w14:paraId="626F6BA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1．D</w:t>
      </w:r>
    </w:p>
    <w:p w14:paraId="629C415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【详解】①②：材料强调的是社保问题，不涉及基本公共服务均等化，社保属于再分配，因此不涉及初次分配的问题，①②排除。</w:t>
      </w:r>
    </w:p>
    <w:p w14:paraId="37703D9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④：如果一个劳动者在34岁，甚至40岁的时候就失业，而且找不到新的工作，而且在失业以后，社保的缴费等都会成为问题，需要国家加快健全和完善社会保障制度，增强群众更多获得感；需要公民要增加权利意识和法律意识，依法维护自身权益，③④正确。</w:t>
      </w:r>
    </w:p>
    <w:p w14:paraId="04C42F7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故本题选D。</w:t>
      </w:r>
    </w:p>
    <w:p w14:paraId="7E0A221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2．A</w:t>
      </w:r>
    </w:p>
    <w:p w14:paraId="04FDA4A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②：我国基本医疗保险运行稳健，截至去年，超13亿人参保，全年参加居民医保人员享受待遇26.1亿人次，比上年增长21.1%。可以看出我国的基本医疗保险有利于减轻老百姓的医疗费用负担，将人民至上理念转化为医保惠民实效，①②符合题意。</w:t>
      </w:r>
    </w:p>
    <w:p w14:paraId="5C31C97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③：基本医疗保险属于社会保险，社会保险保障社会成员的基本生活需求，商业保险满足被保险人较高层次的保险需求，③说法错误。</w:t>
      </w:r>
    </w:p>
    <w:p w14:paraId="054428C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④：社会救助是保障居民生存权利的最后一道防线，④说法错误。</w:t>
      </w:r>
    </w:p>
    <w:p w14:paraId="098E63E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故本题选A。</w:t>
      </w:r>
    </w:p>
    <w:p w14:paraId="53CB0D6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3．B</w:t>
      </w:r>
    </w:p>
    <w:p w14:paraId="787E07C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③：本题考查分配公平的相关知识。根据材料并结合所学知识可知，加大对社会保障的支持，提高人民的幸福感和获得感，养老金标准的不断提高，意味着我国社会保障工作平稳运行，能够满足人民日益增长的需求，①③正确。</w:t>
      </w:r>
    </w:p>
    <w:p w14:paraId="28008A5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②：养老金的调整属于再次分配，②错误。</w:t>
      </w:r>
    </w:p>
    <w:p w14:paraId="1AE7CC4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④：养老金的提高可以提高社会保障的水平，但不会直接提高老年人的高水平消费，④错误。</w:t>
      </w:r>
    </w:p>
    <w:p w14:paraId="6BD02A0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 B。</w:t>
      </w:r>
    </w:p>
    <w:p w14:paraId="241049F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4．C</w:t>
      </w:r>
    </w:p>
    <w:p w14:paraId="6FBDA2E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提高医疗补助标准与优化城乡居民的消费结构没有直接关联，①排除；②：国家提高财政人均补助标准，这是国家更加注重社会公平，实现发展成果由人民共享的表现，②正确；③：国家提高财政人均补助标准不属于初次分配的范畴，③排除；④：国家提高财政人均补助标准表明国家加大再分配力度，提高城乡居民基本医疗保障水平，④正确。故本题选C。</w:t>
      </w:r>
    </w:p>
    <w:p w14:paraId="0642C55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5．C</w:t>
      </w:r>
    </w:p>
    <w:p w14:paraId="7A105BA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材料未体现市场经济的长处，①排除。②③：国家防灾减灾救灾委员会，应急管理部，会同国家粮食和物资储备局已向灾区调拨中央教灾物资13.35万件，全力支持受灾群众临时安置和生活救助工作。这体现了坚持中国共产党领导是中国特色社会主义制度的最大优势，灾害救助能有效保障困难群众基本生活权利、维护社会秩序稳定，②③正确。④：社会救助是保障社会成员生活安全和生存权利的“最后一道防线”，④排除。故本题选C。</w:t>
      </w:r>
    </w:p>
    <w:p w14:paraId="0D72B05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6．B</w:t>
      </w:r>
    </w:p>
    <w:p w14:paraId="762BC81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③：我国社会保障体系的不断完善以及所取得的成就，说明经济发展是社会保障的基础，社会保障必须有相应的经济实力作支撑，社会保障体系形成没有漏洞的“安全网”,有利于缩小贫富差距，①③正确。②：社会救助是保障社会成员生活安全和生存权利的“最后一道防线”,②排除。④：社会保障是通过国民收入再分配，发挥收入分配调节器的作用，化解社会矛盾，促进社会公平正义，④排除。故本题选B。</w:t>
      </w:r>
    </w:p>
    <w:p w14:paraId="0B30DEA4">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7．D</w:t>
      </w:r>
    </w:p>
    <w:p w14:paraId="342101D4">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我国社会保障体系中最低层次的是社会救助，①排除。②：保障社会成员生活安全和生存的“最后一道防线”是社会救助，②排除。③：国家提高了部分退役军人和其他优抚对象抚恤补助标准，有助于维持社会稳定、促进国防安全，③正确。 ④：社会优抚是指国家和社会依法对军人及军烈属提供的各种优待、抚恤、养老、就业安置等待遇和服务的保障制度，④正确。故本题选D。</w:t>
      </w:r>
    </w:p>
    <w:p w14:paraId="3DF178C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8．B</w:t>
      </w:r>
    </w:p>
    <w:p w14:paraId="067307F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【详解】①：向老年人提供产品或服务，以银发需求为牵引，打造友善适老消费环境，加强老年人权益保障，从而增进老年人福祉，①正确。</w:t>
      </w:r>
    </w:p>
    <w:p w14:paraId="3306C26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②：聚焦银发刚需，引导经营主体增加投入，提供高品质服务供给，满足养老需求，但不能减轻家庭养老负担，②错误。</w:t>
      </w:r>
    </w:p>
    <w:p w14:paraId="0FDA1ED4">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③：创新养老体制机制，加快养老产业集群发展，有利于丰富服务供给，满足养老需求，③正确。</w:t>
      </w:r>
    </w:p>
    <w:p w14:paraId="7D4A8151">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④：养老保险全覆盖,扩大了养老保险的覆盖面，不能推出提高养老保障基数，④错误。</w:t>
      </w:r>
    </w:p>
    <w:p w14:paraId="76AEC72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故本题选B。</w:t>
      </w:r>
    </w:p>
    <w:p w14:paraId="59F8589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9．A</w:t>
      </w:r>
    </w:p>
    <w:p w14:paraId="444A88D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【详解】A：材料中指出未来30年制度赡养率翻倍，当期结余将于2028年出现赤字并不断扩大，这说明随着人口老龄化的加剧，养老金支出压力加大，A正确。</w:t>
      </w:r>
    </w:p>
    <w:p w14:paraId="2623AC3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B：第三次分配指的是社会慈善事业，我国不能亟待通过发展慈善等社会公益事业来减轻社会养老负担，而是需要我国不断完善基本养老保险全国统筹制度，发展多层次、多支柱养老保险体系，B不选。</w:t>
      </w:r>
    </w:p>
    <w:p w14:paraId="410611FD">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C：社会保障作为精巧的“社会减震器”，通过防范和化解社会成员的生存危机，保障他们的基本生活权利，而社会养老保险仅仅是社会保障体系的一部分，根据题干可知，随着人口老龄化的加剧、养老金支出压力加大，而不是社会养老保险无法保障社会成员的基本需求，C不选。</w:t>
      </w:r>
    </w:p>
    <w:p w14:paraId="0F3FE21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D：我国需要不断完善基本养老保险全国统筹制度，发展以基本养老保险为基础的多层次、多支柱养老保险体系，D错误。</w:t>
      </w:r>
    </w:p>
    <w:p w14:paraId="4370ECC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故本题选A。</w:t>
      </w:r>
    </w:p>
    <w:p w14:paraId="6546DCA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10．D</w:t>
      </w:r>
    </w:p>
    <w:p w14:paraId="6BC33D2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②④：江西省出台的《江西省人民政府办公厅关于建立健全江西省职工基本医疗保险门诊共济保障机制的实施意见》，有利于实现家庭成员之间的门诊共济，提高医保资金使用效率，完善我国社会保障体系，有效维护社会生活秩序稳定，②④正确。</w:t>
      </w:r>
    </w:p>
    <w:p w14:paraId="55FB50F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①：社会救助是保障社会生活安全和生存权利的“最后一道防线”，材料体现的是社会保险，不是社会救助，①排除。</w:t>
      </w:r>
    </w:p>
    <w:p w14:paraId="60ABF4D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③：职工医保属于社会保险，是社会保障的重要组成部分，保障人们的基本生活权利，而不是较高层次的生活需求，③错误。</w:t>
      </w:r>
    </w:p>
    <w:p w14:paraId="36D075A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故本题选D。</w:t>
      </w:r>
    </w:p>
    <w:p w14:paraId="19CAC8A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11．B</w:t>
      </w:r>
    </w:p>
    <w:p w14:paraId="45B4DB1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【详解】①③：提高劳动报酬在初次分配中的比重，健全工资合理增长机制和加大再分配调节力度，完善覆盖全民的社会保障体系这两项举措有利于实现共同富裕，①③正确。</w:t>
      </w:r>
    </w:p>
    <w:p w14:paraId="04E3627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②：健全各类生产要素由市场决定报酬的机制，充分发挥市场的作用是注重效率，客观上会造成收入差距的拉大，不利于共同富裕实现，②不合题意。</w:t>
      </w:r>
    </w:p>
    <w:p w14:paraId="344A2944">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④：农村土地归集体所有，土地所有权不能流转，④错误。</w:t>
      </w:r>
    </w:p>
    <w:p w14:paraId="0488032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故本题选B。</w:t>
      </w:r>
    </w:p>
    <w:p w14:paraId="53A63B15">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12．B</w:t>
      </w:r>
    </w:p>
    <w:p w14:paraId="66F2838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④：通过“强化养老机构与医疗机构签约合作、提升机构医养结合服务能力、强化科技为养老赋”等措施，有利于提升养老服务质量，提升老年人幸福生活品质，有助于更好保障老年人权益，解决人口老龄化问题，①④符合题意。</w:t>
      </w:r>
    </w:p>
    <w:p w14:paraId="3E0B741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②：措施中包括“加强建设和运营支持”，并没有减轻政府财政负担，②不选。</w:t>
      </w:r>
    </w:p>
    <w:p w14:paraId="74CBA62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③：社会保险、社会救助、社会福利、社会优抚等保障形式共同构成我国的社会保障体系，题干措施不体现完善我国社会保障体系，③不符合题意。</w:t>
      </w:r>
    </w:p>
    <w:p w14:paraId="0990B85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故本题选B。</w:t>
      </w:r>
    </w:p>
    <w:p w14:paraId="0A174BF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13．A</w:t>
      </w:r>
    </w:p>
    <w:p w14:paraId="00F3316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【详解】①③：广东省出台行动计划，坚持以人民为中心的发展思想，不断提高养老服务水平，旨在扩大优质养老服务供给，保障公民享受相应的社保权益，实现发展成果由人民共享，①③正确。</w:t>
      </w:r>
    </w:p>
    <w:p w14:paraId="1E14CD1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②：我们要推进基本养老服务均等化，“平均化”说法错误，②排除。</w:t>
      </w:r>
    </w:p>
    <w:p w14:paraId="3D3099E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④：材料强调推动养老服务高质量发展，并没有涉及缩小城乡收入分配差距，④不符合题意。</w:t>
      </w:r>
    </w:p>
    <w:p w14:paraId="67865570">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故本题选A。</w:t>
      </w:r>
    </w:p>
    <w:p w14:paraId="3FC70EC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14．B</w:t>
      </w:r>
    </w:p>
    <w:p w14:paraId="27F221F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【详解】①：发展银发经济是积极应对人口老龄化的客观要求，为满足老年群体多方面需求，企业可以极创设老年文旅品牌，扩大市场供给，①符合题意。</w:t>
      </w:r>
    </w:p>
    <w:p w14:paraId="1CCAA6B8">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②③：发展民生事业和应保尽保完善社保体系的主体是政府，②③排除。</w:t>
      </w:r>
    </w:p>
    <w:p w14:paraId="79E3A644">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④：要大力发展银发经济，满足老年群体多方面的需求，企业可以打造智慧健康适老产品，培育新型消费，④符合题意。</w:t>
      </w:r>
    </w:p>
    <w:p w14:paraId="1250221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故本题选B。</w:t>
      </w:r>
    </w:p>
    <w:p w14:paraId="1FCC580A">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15．D</w:t>
      </w:r>
    </w:p>
    <w:p w14:paraId="1B2333B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【详解】①②：符合条件的大型、中小微企业分别可以申请失业保险费的30%、不超过60%返还。材料中没有多层次社保体系，也没有谈到保障水平，①②不符合题意。</w:t>
      </w:r>
    </w:p>
    <w:p w14:paraId="4089E10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③④：符合条件的大型、中小微企业分别可以申请失业保险费的30%、不超过60%返还。该政策表明稳岗返还有利于增强企业活力，稳就业是宏观调控的主要目标，③④符合题意。</w:t>
      </w:r>
    </w:p>
    <w:p w14:paraId="5E37628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故本题选D。</w:t>
      </w:r>
    </w:p>
    <w:p w14:paraId="26449B59">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16．B</w:t>
      </w:r>
    </w:p>
    <w:p w14:paraId="5C8FA34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【详解】②：材料并未涉及统筹城乡的社会保障体系，②排除。</w:t>
      </w:r>
    </w:p>
    <w:p w14:paraId="1AD4FDF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③：材料中的做法是在提高社会救助的补贴标准，并未扩大保障范围，③排除。</w:t>
      </w:r>
    </w:p>
    <w:p w14:paraId="3C4CEE92">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①④：江西省提高了城乡社会救助的各项补贴标准，有利于完善社会救助，织密、织牢基本民生保障网络，构筑保民生的“最后一道防线”，①④符合题意。</w:t>
      </w:r>
    </w:p>
    <w:p w14:paraId="589C52A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故本题选B。</w:t>
      </w:r>
    </w:p>
    <w:p w14:paraId="19829296">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17．①完善社会保障体系，要公平对待每个公民并确保其享受相应的社会保障权益，因此要进一步完善我国社区养老服务设施，健全农村养老服务保障制度，进一步完善世界上规模最大的基本医疗保障网。</w:t>
      </w:r>
    </w:p>
    <w:p w14:paraId="111073BC">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②完善社会保障体系，既要尽力而为，又要量力而行，要坚持社会保障水平与经济社会发展相适应，随着经济发展，要进一步发挥养老保险在老有所养、老有所依中的作用。</w:t>
      </w:r>
    </w:p>
    <w:p w14:paraId="4DFF2A97">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③完善社会保障体系要做到权责清晰，老年人依法享有的养老金和其他待遇应当得到保障，使其更多更好共享改革发展成果。</w:t>
      </w:r>
    </w:p>
    <w:p w14:paraId="3D4C0BDF">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1</w:t>
      </w:r>
      <w:r>
        <w:rPr>
          <w:rFonts w:hint="eastAsia"/>
          <w:lang w:val="en-US" w:eastAsia="zh-CN"/>
        </w:rPr>
        <w:t>8</w:t>
      </w:r>
      <w:r>
        <w:t>．①坚持应保尽保原则，建立起覆盖全民、统筹城乡的社会保障体系，更多地维护好困难群体的利益，缩小贫富差距，促进社会和谐发展。</w:t>
      </w:r>
    </w:p>
    <w:p w14:paraId="1D66AC03">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②既要尽力而为，又要量力而行，要坚持社会保障水平与经济社会发展水平相适应。</w:t>
      </w:r>
    </w:p>
    <w:p w14:paraId="3085C01B">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③必须明确各方的权利与责任，严格依法监管。</w:t>
      </w:r>
    </w:p>
    <w:p w14:paraId="61246ACE">
      <w:pPr>
        <w:keepNext w:val="0"/>
        <w:keepLines w:val="0"/>
        <w:pageBreakBefore w:val="0"/>
        <w:widowControl w:val="0"/>
        <w:kinsoku/>
        <w:wordWrap/>
        <w:overflowPunct/>
        <w:topLinePunct w:val="0"/>
        <w:autoSpaceDE/>
        <w:autoSpaceDN/>
        <w:bidi w:val="0"/>
        <w:adjustRightInd/>
        <w:snapToGrid/>
        <w:spacing w:line="240" w:lineRule="auto"/>
        <w:jc w:val="left"/>
        <w:textAlignment w:val="center"/>
      </w:pPr>
      <w:r>
        <w:t>④加强宣传引导，提高农村居民的参保意识。</w:t>
      </w:r>
    </w:p>
    <w:sectPr>
      <w:headerReference r:id="rId3" w:type="default"/>
      <w:footerReference r:id="rId5" w:type="default"/>
      <w:headerReference r:id="rId4" w:type="even"/>
      <w:footerReference r:id="rId6" w:type="even"/>
      <w:pgSz w:w="14570" w:h="20636"/>
      <w:pgMar w:top="567" w:right="567" w:bottom="567" w:left="567" w:header="851" w:footer="992" w:gutter="0"/>
      <w:pgNumType w:start="1"/>
      <w:cols w:equalWidth="0" w:num="2">
        <w:col w:w="6505" w:space="425"/>
        <w:col w:w="650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337BB3">
    <w:pPr>
      <w:pStyle w:val="2"/>
    </w:pPr>
  </w:p>
  <w:p w14:paraId="5C8D48C5">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A4599">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88D46"/>
  <w:p w14:paraId="5625904C">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670B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A38EA"/>
    <w:multiLevelType w:val="singleLevel"/>
    <w:tmpl w:val="263A38EA"/>
    <w:lvl w:ilvl="0" w:tentative="0">
      <w:start w:val="4"/>
      <w:numFmt w:val="chineseCounting"/>
      <w:suff w:val="space"/>
      <w:lvlText w:val="第%1课"/>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k2NDM2MWI0MmU3MzRiMjk4MDgyZTVkY2M2OTA3M2IifQ=="/>
  </w:docVars>
  <w:rsids>
    <w:rsidRoot w:val="00C806B0"/>
    <w:rsid w:val="000232A6"/>
    <w:rsid w:val="00043B54"/>
    <w:rsid w:val="00065CD2"/>
    <w:rsid w:val="001D7A06"/>
    <w:rsid w:val="00225E5C"/>
    <w:rsid w:val="00284433"/>
    <w:rsid w:val="002A1EC6"/>
    <w:rsid w:val="002E035E"/>
    <w:rsid w:val="003F38F2"/>
    <w:rsid w:val="004151FC"/>
    <w:rsid w:val="0064153B"/>
    <w:rsid w:val="006B16C5"/>
    <w:rsid w:val="00776133"/>
    <w:rsid w:val="00855687"/>
    <w:rsid w:val="008C07DE"/>
    <w:rsid w:val="008D6C58"/>
    <w:rsid w:val="009E611B"/>
    <w:rsid w:val="00A30CCE"/>
    <w:rsid w:val="00A41434"/>
    <w:rsid w:val="00AC3E9C"/>
    <w:rsid w:val="00BC4F14"/>
    <w:rsid w:val="00BC62FB"/>
    <w:rsid w:val="00BF535F"/>
    <w:rsid w:val="00C02FC6"/>
    <w:rsid w:val="00C806B0"/>
    <w:rsid w:val="00E476EE"/>
    <w:rsid w:val="00EF035E"/>
    <w:rsid w:val="00F96CC1"/>
    <w:rsid w:val="00FA429B"/>
    <w:rsid w:val="24A56A2C"/>
    <w:rsid w:val="7BC965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2526</Words>
  <Characters>2647</Characters>
  <Lines>80</Lines>
  <Paragraphs>22</Paragraphs>
  <TotalTime>6</TotalTime>
  <ScaleCrop>false</ScaleCrop>
  <LinksUpToDate>false</LinksUpToDate>
  <CharactersWithSpaces>2738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2024-09-06T03:46:00Z</dcterms:created>
  <dcterms:modified xsi:type="dcterms:W3CDTF">2024-12-20T05:17:53Z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2052-12.1.0.19302</vt:lpwstr>
  </property>
  <property fmtid="{D5CDD505-2E9C-101B-9397-08002B2CF9AE}" pid="7" name="ICV">
    <vt:lpwstr>36DB2C7EB4D64BDEA43D98B0CC2B4021_12</vt:lpwstr>
  </property>
</Properties>
</file>