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5D2C7">
      <w:pPr>
        <w:keepNext/>
        <w:keepLines/>
        <w:widowControl w:val="0"/>
        <w:bidi w:val="0"/>
        <w:spacing w:before="260" w:beforeLines="0" w:beforeAutospacing="0" w:after="260" w:afterLines="0" w:afterAutospacing="0" w:line="413" w:lineRule="auto"/>
        <w:jc w:val="center"/>
        <w:outlineLvl w:val="1"/>
        <w:rPr>
          <w:rFonts w:ascii="Arial" w:hAnsi="Arial" w:eastAsia="黑体" w:cs="Times New Roman"/>
          <w:b/>
          <w:kern w:val="2"/>
          <w:sz w:val="15"/>
          <w:szCs w:val="15"/>
          <w:lang w:val="en-US" w:eastAsia="zh-CN" w:bidi="ar-SA"/>
        </w:rPr>
      </w:pPr>
      <w:r>
        <w:rPr>
          <w:rFonts w:hint="eastAsia" w:ascii="宋体" w:hAnsi="宋体" w:eastAsia="宋体" w:cs="宋体"/>
          <w:b/>
          <w:kern w:val="2"/>
          <w:sz w:val="15"/>
          <w:szCs w:val="15"/>
          <w:lang w:val="en-US" w:eastAsia="zh-CN" w:bidi="ar-SA"/>
        </w:rPr>
        <w:t>横峰中学学生课堂导学训案（政治） 高一  使用时间202501  编写人 ：王瑜 审核人：林垂明</w:t>
      </w:r>
      <w:bookmarkStart w:id="0" w:name="_GoBack"/>
      <w:bookmarkEnd w:id="0"/>
    </w:p>
    <w:p w14:paraId="3724CBE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904" w:firstLineChars="300"/>
        <w:jc w:val="both"/>
        <w:textAlignment w:val="auto"/>
        <w:rPr>
          <w:rFonts w:hint="default" w:ascii="宋体" w:hAnsi="宋体" w:eastAsia="宋体" w:cs="宋体"/>
          <w:b/>
          <w:bCs/>
          <w:sz w:val="30"/>
          <w:szCs w:val="30"/>
          <w:lang w:val="en-US" w:eastAsia="zh-CN"/>
        </w:rPr>
      </w:pPr>
      <w:r>
        <w:rPr>
          <w:rFonts w:hint="eastAsia" w:ascii="宋体" w:hAnsi="宋体" w:eastAsia="宋体" w:cs="宋体"/>
          <w:b/>
          <w:sz w:val="30"/>
          <w:szCs w:val="30"/>
        </w:rPr>
        <w:drawing>
          <wp:anchor distT="0" distB="0" distL="114300" distR="114300" simplePos="0" relativeHeight="251661312" behindDoc="0" locked="0" layoutInCell="1" allowOverlap="1">
            <wp:simplePos x="0" y="0"/>
            <wp:positionH relativeFrom="page">
              <wp:posOffset>11150600</wp:posOffset>
            </wp:positionH>
            <wp:positionV relativeFrom="topMargin">
              <wp:posOffset>11468100</wp:posOffset>
            </wp:positionV>
            <wp:extent cx="2540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469900"/>
                    </a:xfrm>
                    <a:prstGeom prst="rect">
                      <a:avLst/>
                    </a:prstGeom>
                  </pic:spPr>
                </pic:pic>
              </a:graphicData>
            </a:graphic>
          </wp:anchor>
        </w:drawing>
      </w:r>
      <w:r>
        <w:rPr>
          <w:rFonts w:hint="eastAsia" w:ascii="宋体" w:hAnsi="宋体" w:eastAsia="宋体" w:cs="宋体"/>
          <w:b/>
          <w:sz w:val="30"/>
          <w:szCs w:val="30"/>
        </w:rPr>
        <w:drawing>
          <wp:anchor distT="0" distB="0" distL="114300" distR="114300" simplePos="0" relativeHeight="251662336" behindDoc="0" locked="0" layoutInCell="1" allowOverlap="1">
            <wp:simplePos x="0" y="0"/>
            <wp:positionH relativeFrom="page">
              <wp:posOffset>12166600</wp:posOffset>
            </wp:positionH>
            <wp:positionV relativeFrom="topMargin">
              <wp:posOffset>11747500</wp:posOffset>
            </wp:positionV>
            <wp:extent cx="355600" cy="4445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a:stretch>
                      <a:fillRect/>
                    </a:stretch>
                  </pic:blipFill>
                  <pic:spPr>
                    <a:xfrm>
                      <a:off x="0" y="0"/>
                      <a:ext cx="355600" cy="444500"/>
                    </a:xfrm>
                    <a:prstGeom prst="rect">
                      <a:avLst/>
                    </a:prstGeom>
                  </pic:spPr>
                </pic:pic>
              </a:graphicData>
            </a:graphic>
          </wp:anchor>
        </w:drawing>
      </w:r>
      <w:r>
        <w:rPr>
          <w:rFonts w:hint="eastAsia" w:ascii="宋体" w:hAnsi="宋体" w:eastAsia="宋体" w:cs="宋体"/>
          <w:b/>
          <w:sz w:val="30"/>
          <w:szCs w:val="30"/>
        </w:rPr>
        <w:t>第</w:t>
      </w:r>
      <w:r>
        <w:rPr>
          <w:rFonts w:hint="eastAsia" w:ascii="宋体" w:hAnsi="宋体" w:eastAsia="宋体" w:cs="宋体"/>
          <w:b/>
          <w:sz w:val="30"/>
          <w:szCs w:val="30"/>
          <w:lang w:val="en-US" w:eastAsia="zh-CN"/>
        </w:rPr>
        <w:t>四</w:t>
      </w:r>
      <w:r>
        <w:rPr>
          <w:rFonts w:hint="eastAsia" w:ascii="宋体" w:hAnsi="宋体" w:eastAsia="宋体" w:cs="宋体"/>
          <w:b/>
          <w:sz w:val="30"/>
          <w:szCs w:val="30"/>
        </w:rPr>
        <w:t>课</w:t>
      </w:r>
      <w:r>
        <w:rPr>
          <w:rFonts w:hint="eastAsia" w:ascii="宋体" w:hAnsi="宋体" w:eastAsia="宋体" w:cs="宋体"/>
          <w:b/>
          <w:sz w:val="30"/>
          <w:szCs w:val="30"/>
          <w:lang w:val="en-US" w:eastAsia="zh-CN"/>
        </w:rPr>
        <w:t xml:space="preserve"> </w:t>
      </w:r>
      <w:r>
        <w:rPr>
          <w:rFonts w:hint="eastAsia" w:ascii="宋体" w:hAnsi="宋体" w:eastAsia="宋体" w:cs="宋体"/>
          <w:b/>
          <w:bCs/>
          <w:sz w:val="30"/>
          <w:szCs w:val="30"/>
          <w:lang w:val="en-US" w:eastAsia="zh-CN"/>
        </w:rPr>
        <w:t>我国的个人收入分配与社会保障</w:t>
      </w:r>
    </w:p>
    <w:p w14:paraId="2E141329">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sz w:val="28"/>
          <w:szCs w:val="28"/>
          <w:lang w:val="en-US"/>
        </w:rPr>
      </w:pPr>
      <w:r>
        <w:rPr>
          <w:rFonts w:hint="eastAsia" w:ascii="宋体" w:hAnsi="宋体" w:eastAsia="宋体" w:cs="宋体"/>
          <w:b/>
          <w:sz w:val="28"/>
          <w:szCs w:val="28"/>
          <w:lang w:val="en-US" w:eastAsia="zh-CN"/>
        </w:rPr>
        <w:t>4.1</w:t>
      </w:r>
      <w:r>
        <w:rPr>
          <w:rFonts w:hint="eastAsia" w:ascii="宋体" w:hAnsi="宋体" w:eastAsia="宋体" w:cs="宋体"/>
          <w:b/>
          <w:sz w:val="28"/>
          <w:szCs w:val="28"/>
        </w:rPr>
        <w:t xml:space="preserve"> </w:t>
      </w:r>
      <w:r>
        <w:rPr>
          <w:rFonts w:hint="eastAsia" w:ascii="宋体" w:hAnsi="宋体" w:eastAsia="宋体" w:cs="宋体"/>
          <w:b/>
          <w:sz w:val="28"/>
          <w:szCs w:val="28"/>
          <w:lang w:val="en-US" w:eastAsia="zh-CN"/>
        </w:rPr>
        <w:t xml:space="preserve">我国的个人收入分配 </w:t>
      </w:r>
    </w:p>
    <w:p w14:paraId="6E7A8B7A">
      <w:pPr>
        <w:jc w:val="center"/>
        <w:rPr>
          <w:rFonts w:hint="eastAsia"/>
          <w:b/>
          <w:bCs/>
          <w:sz w:val="28"/>
          <w:szCs w:val="28"/>
        </w:rPr>
      </w:pPr>
      <w:r>
        <w:rPr>
          <w:rFonts w:hint="eastAsia" w:ascii="宋体" w:hAnsi="宋体" w:eastAsia="宋体" w:cs="宋体"/>
          <w:b/>
          <w:bCs/>
          <w:sz w:val="28"/>
          <w:szCs w:val="28"/>
          <w:lang w:val="en-US" w:eastAsia="zh-CN"/>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10223500</wp:posOffset>
            </wp:positionV>
            <wp:extent cx="431800" cy="4699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431800" cy="469900"/>
                    </a:xfrm>
                    <a:prstGeom prst="rect">
                      <a:avLst/>
                    </a:prstGeom>
                  </pic:spPr>
                </pic:pic>
              </a:graphicData>
            </a:graphic>
          </wp:anchor>
        </w:drawing>
      </w:r>
      <w:r>
        <w:rPr>
          <w:rFonts w:hint="eastAsia" w:ascii="宋体" w:hAnsi="宋体" w:eastAsia="宋体" w:cs="宋体"/>
          <w:b/>
          <w:bCs/>
          <w:sz w:val="28"/>
          <w:szCs w:val="28"/>
          <w:lang w:val="en-US" w:eastAsia="zh-CN"/>
        </w:rPr>
        <w:t xml:space="preserve"> </w:t>
      </w:r>
    </w:p>
    <w:p w14:paraId="4BA581CB">
      <w:pPr>
        <w:keepNext w:val="0"/>
        <w:keepLines w:val="0"/>
        <w:pageBreakBefore w:val="0"/>
        <w:widowControl w:val="0"/>
        <w:kinsoku/>
        <w:wordWrap/>
        <w:overflowPunct/>
        <w:topLinePunct w:val="0"/>
        <w:autoSpaceDE/>
        <w:autoSpaceDN/>
        <w:bidi w:val="0"/>
        <w:adjustRightInd/>
        <w:spacing w:line="240" w:lineRule="auto"/>
        <w:rPr>
          <w:rFonts w:hint="eastAsia"/>
          <w:sz w:val="21"/>
          <w:szCs w:val="21"/>
          <w:lang w:val="en-US" w:eastAsia="zh-CN"/>
        </w:rPr>
      </w:pPr>
      <w:r>
        <w:rPr>
          <w:rFonts w:hint="eastAsia"/>
          <w:b/>
          <w:bCs/>
          <w:sz w:val="21"/>
          <w:szCs w:val="21"/>
          <w:lang w:val="en-US" w:eastAsia="zh-CN"/>
        </w:rPr>
        <w:t>一、单项选择题</w:t>
      </w:r>
    </w:p>
    <w:p w14:paraId="6438F6A9">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党的二十大报告提出，要完善分配制度，坚持按劳分配为主体、多种分配方式并存，坚持多劳多得，鼓励勤劳致富，促进机会公平，增加低收入者收入，扩大中等收入群体，规范收入分配秩序，规范财富积累机制。实行这一分配制度的直接原因是(　　)</w:t>
      </w:r>
    </w:p>
    <w:p w14:paraId="0E1EEDA6">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A．我国现阶段的所有制结构</w:t>
      </w:r>
    </w:p>
    <w:p w14:paraId="22D49994">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B．我国生产力发展水平</w:t>
      </w:r>
    </w:p>
    <w:p w14:paraId="0411F52E">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C．社会主义市场经济体制</w:t>
      </w:r>
    </w:p>
    <w:p w14:paraId="0C81EDB1">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D．社会主义条件下人们劳动的性质和特点</w:t>
      </w:r>
    </w:p>
    <w:p w14:paraId="7B70445A">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人力资源社会保障部印发《国有企业科技人才薪酬分配指引》，加大对承担前瞻性、战略性、基础性等重点研发任务的科技人才的激励力度，按贡献决定科技人才报酬，实施以增加知识价值为导向的分配办法，这有利于（</w:t>
      </w:r>
      <w:r>
        <w:rPr>
          <w:rFonts w:hint="eastAsia" w:ascii="宋体" w:hAnsi="宋体" w:eastAsia="宋体" w:cs="宋体"/>
          <w:kern w:val="0"/>
          <w:sz w:val="21"/>
          <w:szCs w:val="21"/>
        </w:rPr>
        <w:t>   </w:t>
      </w:r>
      <w:r>
        <w:rPr>
          <w:rFonts w:hint="eastAsia" w:ascii="宋体" w:hAnsi="宋体" w:eastAsia="宋体" w:cs="宋体"/>
          <w:sz w:val="21"/>
          <w:szCs w:val="21"/>
        </w:rPr>
        <w:t>）</w:t>
      </w:r>
    </w:p>
    <w:p w14:paraId="7B8C66A1">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①健全社会主义的分配原则，调动劳动者积极性和创造性</w:t>
      </w:r>
    </w:p>
    <w:p w14:paraId="14844B0D">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②激发科技人才的创新活力，增强国有企业的竞争力</w:t>
      </w:r>
    </w:p>
    <w:p w14:paraId="2ECFCC18">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③推动生产要素按贡献参与分配，优化人力资源配置</w:t>
      </w:r>
    </w:p>
    <w:p w14:paraId="261E2B85">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④提高科技人才收入，促进社会收入分配公平</w:t>
      </w:r>
    </w:p>
    <w:p w14:paraId="5B5D9FD3">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24C9DF98">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某村开展集体资产股份合作制改革试点以后，许多村民在股份合作制企业找到了工作，有了工资收入；有的村民在村里办起农家乐，一年能挣10多万元；许多农民把自己承包土地的经营权流转出去也能获得一笔稳定的收入；2023年2月，该村迎来第四次集体经济收益股权分红。关于该村村民的收入方式，下列理解正确的是(　　)</w:t>
      </w:r>
    </w:p>
    <w:p w14:paraId="16A31521">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①集体经济收益股权分红所得属于转移性收入　②从股份合作制企业中获得的工资属于按劳分配  ③村民在村里办农家乐的收入属于财产性收入  ④土地的经营权流转所得属于按生产要素分配</w:t>
      </w:r>
    </w:p>
    <w:p w14:paraId="2194C64A">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D．②④</w:t>
      </w:r>
    </w:p>
    <w:p w14:paraId="5128E8A6">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党的二十大报告提出，规范收入分配秩序，规范财富积累机制。这有利于（</w:t>
      </w:r>
      <w:r>
        <w:rPr>
          <w:rFonts w:hint="eastAsia" w:ascii="宋体" w:hAnsi="宋体" w:eastAsia="宋体" w:cs="宋体"/>
          <w:kern w:val="0"/>
          <w:sz w:val="21"/>
          <w:szCs w:val="21"/>
        </w:rPr>
        <w:t>   </w:t>
      </w:r>
      <w:r>
        <w:rPr>
          <w:rFonts w:hint="eastAsia" w:ascii="宋体" w:hAnsi="宋体" w:eastAsia="宋体" w:cs="宋体"/>
          <w:sz w:val="21"/>
          <w:szCs w:val="21"/>
        </w:rPr>
        <w:t>）</w:t>
      </w:r>
    </w:p>
    <w:p w14:paraId="469F1CBE">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①兼顾效率与公平以缩小收入分配差距</w:t>
      </w:r>
    </w:p>
    <w:p w14:paraId="3A4F153A">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②更加扎实推进全体人民共同富裕</w:t>
      </w:r>
    </w:p>
    <w:p w14:paraId="5455ECE3">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③以发展为基础带动收入分配更加公平</w:t>
      </w:r>
    </w:p>
    <w:p w14:paraId="3FABD465">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④引导居民以正当合理的途径积累财富</w:t>
      </w:r>
    </w:p>
    <w:p w14:paraId="2BB51804">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C．②④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26A207D6">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以下是某村支书的年度“账单”：</w:t>
      </w:r>
    </w:p>
    <w:p w14:paraId="06771723">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2022年，全村接待游客10万余人，带来餐饮住宿等消费1200余万元，甲鱼产值84万余元……</w:t>
      </w:r>
    </w:p>
    <w:p w14:paraId="459D9892">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rPr>
        <w:t>村民曹中云在村办农家乐做服务员，工资一个月3200元，七月份村分红4000元。柑橘、桃子等由供销合作社保底收购，稻田中甲鱼养殖也因科技特派员指导而增收不少。年总收入达6万元左右……</w:t>
      </w:r>
    </w:p>
    <w:p w14:paraId="1C13AA91">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从“账单”透露的信息中可以解读出(　　)</w:t>
      </w:r>
    </w:p>
    <w:p w14:paraId="55D21014">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①村民曹中云家收入来源多样，既有劳动性收入，也有财产性收入　</w:t>
      </w:r>
    </w:p>
    <w:p w14:paraId="5D579288">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②该村坚持初次分配与再分配相结合，既提高了效率又维护了公平　</w:t>
      </w:r>
    </w:p>
    <w:p w14:paraId="7F5C959A">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③健全农业社会化服务体系，是发展壮大农村集体经济的重要举措　</w:t>
      </w:r>
    </w:p>
    <w:p w14:paraId="4FD9FD50">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④迅速发展的非公有制经济，成为推动农村经济健康发展的主力军</w:t>
      </w:r>
    </w:p>
    <w:p w14:paraId="6EB0F322">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0BD8625B">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我国实施大规模的扶贫开发，从解决温饱到全面实施精准扶贫、精准脱贫方略，7亿多农村人口摆脱贫困，这相当于目前整个欧洲国家的人口总和。我国实施大规模扶贫开发的经济意义在于(　 )</w:t>
      </w:r>
    </w:p>
    <w:p w14:paraId="05DAF659">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kern w:val="0"/>
          <w:sz w:val="21"/>
          <w:szCs w:val="21"/>
          <w:lang w:val="en-US" w:eastAsia="zh-CN"/>
        </w:rPr>
      </w:pPr>
      <w:r>
        <w:rPr>
          <w:rFonts w:hint="eastAsia" w:ascii="宋体" w:hAnsi="宋体" w:eastAsia="宋体" w:cs="宋体"/>
          <w:sz w:val="21"/>
          <w:szCs w:val="21"/>
        </w:rPr>
        <w:t>①促进结构调整，妥善解决发展动力问题</w:t>
      </w:r>
      <w:r>
        <w:rPr>
          <w:rFonts w:hint="eastAsia" w:ascii="宋体" w:hAnsi="宋体" w:eastAsia="宋体" w:cs="宋体"/>
          <w:kern w:val="0"/>
          <w:sz w:val="21"/>
          <w:szCs w:val="21"/>
        </w:rPr>
        <w:t>  </w:t>
      </w:r>
      <w:r>
        <w:rPr>
          <w:rFonts w:hint="eastAsia" w:ascii="宋体" w:hAnsi="宋体" w:eastAsia="宋体" w:cs="宋体"/>
          <w:kern w:val="0"/>
          <w:sz w:val="21"/>
          <w:szCs w:val="21"/>
          <w:lang w:val="en-US" w:eastAsia="zh-CN"/>
        </w:rPr>
        <w:t xml:space="preserve"> </w:t>
      </w:r>
    </w:p>
    <w:p w14:paraId="22C4F300">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②提高供给质量，促进社会公平</w:t>
      </w:r>
    </w:p>
    <w:p w14:paraId="4F70E322">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kern w:val="0"/>
          <w:sz w:val="21"/>
          <w:szCs w:val="21"/>
          <w:lang w:val="en-US" w:eastAsia="zh-CN"/>
        </w:rPr>
      </w:pPr>
      <w:r>
        <w:rPr>
          <w:rFonts w:hint="eastAsia" w:ascii="宋体" w:hAnsi="宋体" w:eastAsia="宋体" w:cs="宋体"/>
          <w:sz w:val="21"/>
          <w:szCs w:val="21"/>
        </w:rPr>
        <w:t>③缩小收入差距，增加人民的获得感和幸福感</w:t>
      </w:r>
      <w:r>
        <w:rPr>
          <w:rFonts w:hint="eastAsia" w:ascii="宋体" w:hAnsi="宋体" w:eastAsia="宋体" w:cs="宋体"/>
          <w:kern w:val="0"/>
          <w:sz w:val="21"/>
          <w:szCs w:val="21"/>
        </w:rPr>
        <w:t>  </w:t>
      </w:r>
      <w:r>
        <w:rPr>
          <w:rFonts w:hint="eastAsia" w:ascii="宋体" w:hAnsi="宋体" w:eastAsia="宋体" w:cs="宋体"/>
          <w:kern w:val="0"/>
          <w:sz w:val="21"/>
          <w:szCs w:val="21"/>
          <w:lang w:val="en-US" w:eastAsia="zh-CN"/>
        </w:rPr>
        <w:t xml:space="preserve">   </w:t>
      </w:r>
    </w:p>
    <w:p w14:paraId="3EEF0FEF">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④理顺分配关系，促进社会和谐</w:t>
      </w:r>
    </w:p>
    <w:p w14:paraId="29335367">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0AEE1786">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小陈没有考上大学，高中毕业后在一家小餐馆打工，每年收入5万元；哥哥在老家承包土地种植茶叶，采用科学管理手段，效益很好，每年有15万元收入；妈妈主要负责在家照顾老人，没有外出工作，每年管理家里存款有1.5万元的利息收入；爸爸在国企上班，每年工资性收入12万元。小陈家一年的劳动性收入共(　　)</w:t>
      </w:r>
    </w:p>
    <w:p w14:paraId="6561873B">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A．32万元</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B．33.5万元</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C．20万元</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D．27万元</w:t>
      </w:r>
    </w:p>
    <w:p w14:paraId="33BD35EC">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收入分配是民生之源,是改善民生、实现发展成果由人民共享最重要最直接的方式。“十四五”时期要以习近平新时代中国特色社会主义思想为指导,在经济平稳增长的基础上,围绕增活力、提效率、缩差距、优格局,努力使全体人民在共建共享发展中有更多获得感,为顺利实现第二个百年奋斗目标打下坚实基础。以下收入分配的实施中属于初次分配的有（</w:t>
      </w:r>
      <w:r>
        <w:rPr>
          <w:rFonts w:hint="eastAsia" w:ascii="宋体" w:hAnsi="宋体" w:eastAsia="宋体" w:cs="宋体"/>
          <w:kern w:val="0"/>
          <w:sz w:val="21"/>
          <w:szCs w:val="21"/>
        </w:rPr>
        <w:t>   </w:t>
      </w:r>
      <w:r>
        <w:rPr>
          <w:rFonts w:hint="eastAsia" w:ascii="宋体" w:hAnsi="宋体" w:eastAsia="宋体" w:cs="宋体"/>
          <w:sz w:val="21"/>
          <w:szCs w:val="21"/>
        </w:rPr>
        <w:t>）</w:t>
      </w:r>
    </w:p>
    <w:p w14:paraId="4AA1C0E3">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①完善按要素分配政策制度　</w:t>
      </w:r>
    </w:p>
    <w:p w14:paraId="573A0AD5">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②加大税收、社会保险、转移支付等调节力度　</w:t>
      </w:r>
    </w:p>
    <w:p w14:paraId="3A4112FF">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③引导、支持有意愿、有能力的企业、社会组织和个人积极参与公益慈善事业,规范收入分配秩序　</w:t>
      </w:r>
    </w:p>
    <w:p w14:paraId="7DFDB36C">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④进一步完善反映市场供求和经济效益的工资决定机制</w:t>
      </w:r>
    </w:p>
    <w:p w14:paraId="7C5C0600">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31C017E4">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2023年10月19日，国家统计局公布，前三季度国内生产总值913 027亿元，同比增长5.2%；前三季度全国居民人均可支配收入29 398元，同比名义增长6.3%。从收入来源看，全国居民人均工资性收入、经营性收入、财产性收入、转移净收入分别同比名义增长5.6%、7.3%、2.5%、4.1%。材料表明(　　)</w:t>
      </w:r>
    </w:p>
    <w:p w14:paraId="50AA4F23">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①我国坚持在经济增长的同时实现居民收入同步增长　②我国居民收入增长得益于个人收入分配制度的改革　③我国在劳动生产率提高的同时实现劳动报酬同步提高　④居民劳动性收入和经营性收入的增长促进了总收入增长</w:t>
      </w:r>
    </w:p>
    <w:p w14:paraId="3FDEBA7A">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D．②④</w:t>
      </w:r>
    </w:p>
    <w:p w14:paraId="13E6673E">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某村开展集体资产股份合作制改革试点以后，许多村民在股份合作企业找到了工作，有了工资收入;有的村民在村里办起农家乐，一年能挣10多万元;许多农民把自己承包土地的经营权流转出去也能获得一笔稳定的收入;2021年2月，该村迎来第四次集体经济收益股权分红关于该村村民的收入方式，下列理解正确的是（</w:t>
      </w:r>
      <w:r>
        <w:rPr>
          <w:rFonts w:hint="eastAsia" w:ascii="宋体" w:hAnsi="宋体" w:eastAsia="宋体" w:cs="宋体"/>
          <w:kern w:val="0"/>
          <w:sz w:val="21"/>
          <w:szCs w:val="21"/>
        </w:rPr>
        <w:t>   </w:t>
      </w:r>
      <w:r>
        <w:rPr>
          <w:rFonts w:hint="eastAsia" w:ascii="宋体" w:hAnsi="宋体" w:eastAsia="宋体" w:cs="宋体"/>
          <w:sz w:val="21"/>
          <w:szCs w:val="21"/>
        </w:rPr>
        <w:t>）</w:t>
      </w:r>
    </w:p>
    <w:p w14:paraId="3C73A79B">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①集体经济收益股权分红所得属于转移性收入</w:t>
      </w:r>
    </w:p>
    <w:p w14:paraId="1469B077">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②从股份合作制企业中获得的工资属于按劳分配</w:t>
      </w:r>
    </w:p>
    <w:p w14:paraId="79C1AB70">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③村民在村里办农家乐的收入属于财产性收入</w:t>
      </w:r>
    </w:p>
    <w:p w14:paraId="6BB254B5">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④土地的经营权流转所得属于按生产要素分配</w:t>
      </w:r>
    </w:p>
    <w:p w14:paraId="11CE99AE">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D．②④</w:t>
      </w:r>
    </w:p>
    <w:p w14:paraId="63BDE913">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2023年6月，人力资源社会保障部明确提出，对招用2023届及离校两年内未就业普通高校毕业生、登记失业的16～24岁青年，签订劳动合同并为其缴纳失业保险、工伤保险、职工养老保险费1个月以上的企业，可按照每招用1人不超过1500元的标准发放一次性扩岗补助，所需资金由失业保险基金支付。发放一次性扩岗补助(　　)</w:t>
      </w:r>
    </w:p>
    <w:p w14:paraId="452C32F6">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①能激发企业动力，护航高校毕业生就业　②提升了职工的最低工资标准，改善职工生活　③意在使企业为就业青年提供社会保障　④表明社会保障能维护社会生活秩序的稳定</w:t>
      </w:r>
    </w:p>
    <w:p w14:paraId="103989E1">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D．②④</w:t>
      </w:r>
    </w:p>
    <w:p w14:paraId="67981389">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两个煤炉、两口油锅……“五一”劳动节假期，53岁的业主金顺兴和他的妻子正埋头忙活。金顺兴把长沙传统小吃糖油粑粑变小，做出了糖油坨坨。在中国各个城市的大街小巷，无数个体户正忙着小生意，过着属于自己的幸福生活。材料中的小生意人（</w:t>
      </w:r>
      <w:r>
        <w:rPr>
          <w:rFonts w:hint="eastAsia" w:ascii="宋体" w:hAnsi="宋体" w:eastAsia="宋体" w:cs="宋体"/>
          <w:kern w:val="0"/>
          <w:sz w:val="21"/>
          <w:szCs w:val="21"/>
        </w:rPr>
        <w:t>   </w:t>
      </w:r>
      <w:r>
        <w:rPr>
          <w:rFonts w:hint="eastAsia" w:ascii="宋体" w:hAnsi="宋体" w:eastAsia="宋体" w:cs="宋体"/>
          <w:sz w:val="21"/>
          <w:szCs w:val="21"/>
        </w:rPr>
        <w:t>）</w:t>
      </w:r>
    </w:p>
    <w:p w14:paraId="101168E2">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①属于私营经济，存在雇工，劳动生产率相对较高</w:t>
      </w:r>
    </w:p>
    <w:p w14:paraId="4B6E3C3A">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②以个体劳动为基础，投资少，经营灵活</w:t>
      </w:r>
    </w:p>
    <w:p w14:paraId="1DB22B84">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③其收入属于经营性收入</w:t>
      </w:r>
    </w:p>
    <w:p w14:paraId="66D29B1C">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④分配的是个人消费品，体现按劳分配的原则</w:t>
      </w:r>
    </w:p>
    <w:p w14:paraId="4C1BB3C6">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D．②④</w:t>
      </w:r>
    </w:p>
    <w:p w14:paraId="7E2C7451">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13、</w:t>
      </w:r>
      <w:r>
        <w:rPr>
          <w:rFonts w:hint="eastAsia" w:ascii="宋体" w:hAnsi="宋体" w:eastAsia="宋体" w:cs="宋体"/>
          <w:sz w:val="21"/>
          <w:szCs w:val="21"/>
        </w:rPr>
        <w:t>近年来，山东省滨州市慈善总会聚焦特殊群体，联合实施三大工程：“朝阳助学工程”，为困难家庭大学新生发放助学金；“康复助医工程”，在本地医院设立慈善站点先行治疗，外地就医给予一次性救助；“救急解难工程”，面向遭遇突发性灾祸的困难家庭实施即时救助。实施“三大工程”(　　)</w:t>
      </w:r>
    </w:p>
    <w:p w14:paraId="36E2A81A">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rPr>
        <w:t>①是落实共享发展理念的有效实践　</w:t>
      </w:r>
      <w:r>
        <w:rPr>
          <w:rFonts w:hint="eastAsia" w:ascii="宋体" w:hAnsi="宋体" w:eastAsia="宋体" w:cs="宋体"/>
          <w:sz w:val="21"/>
          <w:szCs w:val="21"/>
          <w:lang w:val="en-US" w:eastAsia="zh-CN"/>
        </w:rPr>
        <w:t xml:space="preserve">        </w:t>
      </w:r>
    </w:p>
    <w:p w14:paraId="69BAF9F9">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②要求各类收入群体和企业更多回报社会　</w:t>
      </w:r>
    </w:p>
    <w:p w14:paraId="097C2C6E">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③是通过发展社会公益事业实现第三次分配　</w:t>
      </w:r>
    </w:p>
    <w:p w14:paraId="0615B3DD">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④推动社会保障制度与经济发展水平相适应</w:t>
      </w:r>
    </w:p>
    <w:p w14:paraId="38044035">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6E4FEF2A">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rPr>
        <w:t>F镇挖掘闲置庭院资源，采用“党支部+合作社+农户”模式，成立食用菌种植产业合作社联盟，还鼓励村民资金入股，通过以“股”连心、连利、连贵，构建集体和群众利益共享、风险共担机制。F镇这些举措有利于（</w:t>
      </w:r>
      <w:r>
        <w:rPr>
          <w:rFonts w:hint="eastAsia" w:ascii="宋体" w:hAnsi="宋体" w:eastAsia="宋体" w:cs="宋体"/>
          <w:kern w:val="0"/>
          <w:sz w:val="21"/>
          <w:szCs w:val="21"/>
        </w:rPr>
        <w:t>   </w:t>
      </w:r>
      <w:r>
        <w:rPr>
          <w:rFonts w:hint="eastAsia" w:ascii="宋体" w:hAnsi="宋体" w:eastAsia="宋体" w:cs="宋体"/>
          <w:sz w:val="21"/>
          <w:szCs w:val="21"/>
        </w:rPr>
        <w:t>）</w:t>
      </w:r>
    </w:p>
    <w:p w14:paraId="194CB549">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①通过彻底变革农村生产关系，解放和发展农业生产力</w:t>
      </w:r>
    </w:p>
    <w:p w14:paraId="434C05A2">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②创新探索农村集体经济实现形式，释放农村发展活力</w:t>
      </w:r>
    </w:p>
    <w:p w14:paraId="05178C39">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③有效利用各类生产要素，让创造财富的源泉充分涌流</w:t>
      </w:r>
    </w:p>
    <w:p w14:paraId="2FB569D4">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④优化农村产业经营模式，加快非公有制经济发展步伐</w:t>
      </w:r>
    </w:p>
    <w:p w14:paraId="2BF58508">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D．②④</w:t>
      </w:r>
    </w:p>
    <w:p w14:paraId="31AB4AF9">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15、</w:t>
      </w:r>
      <w:r>
        <w:rPr>
          <w:rFonts w:hint="eastAsia" w:ascii="宋体" w:hAnsi="宋体" w:eastAsia="宋体" w:cs="宋体"/>
          <w:sz w:val="21"/>
          <w:szCs w:val="21"/>
        </w:rPr>
        <w:t>2023年第一季度，云南省居民人均可支配收入7119元，比上年同期名义增长4.5%；农村居民收入增速继续快于城镇居民，云南城乡居民人均收入相对差距持续缩小。收入来源趋于多样化，工资性收入和转移性收入增长稳定，财产性收入较快增长，民生保障力度不减。对此，下列选项表述正确的是(　　)</w:t>
      </w:r>
    </w:p>
    <w:p w14:paraId="05D9B44E">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①转移性收入成为居民主要收入来源　</w:t>
      </w:r>
    </w:p>
    <w:p w14:paraId="76280A9D">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②要注重发挥再分配调节机制的作用　</w:t>
      </w:r>
    </w:p>
    <w:p w14:paraId="64DC58C7">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③推动共同富裕建设取得新成效　</w:t>
      </w:r>
    </w:p>
    <w:p w14:paraId="4606D743">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④农村居民收入已经高于城镇居民收入</w:t>
      </w:r>
    </w:p>
    <w:p w14:paraId="00C7936C">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228E26F3">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2023年全国两会政府工作报告指出，多渠道增加城乡居民收入。某省以增加居民收入、增进民生福祉为目标，深入实施“四大提升行动”，完善政策机制，着力打好就业创业、社会保障、和谐劳动关系、收入分配组合拳，确保城乡居民收入持续稳定增长。为实现上述目标应该(　　)</w:t>
      </w:r>
    </w:p>
    <w:p w14:paraId="2194AF92">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①在再分配过程中增加劳动者劳动报酬　</w:t>
      </w:r>
    </w:p>
    <w:p w14:paraId="382786FF">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②在第三次分配过程中扩大转移支付　</w:t>
      </w:r>
    </w:p>
    <w:p w14:paraId="791D269C">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③大力发展生产力，增加就业岗位　</w:t>
      </w:r>
    </w:p>
    <w:p w14:paraId="025D5F14">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④健全体现效率、促进公平的分配制度</w:t>
      </w:r>
    </w:p>
    <w:p w14:paraId="4539CB61">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C．②④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D．③④</w:t>
      </w:r>
    </w:p>
    <w:p w14:paraId="37362873">
      <w:pPr>
        <w:keepNext w:val="0"/>
        <w:keepLines w:val="0"/>
        <w:pageBreakBefore w:val="0"/>
        <w:widowControl w:val="0"/>
        <w:kinsoku/>
        <w:wordWrap/>
        <w:overflowPunct/>
        <w:topLinePunct w:val="0"/>
        <w:autoSpaceDE/>
        <w:autoSpaceDN/>
        <w:bidi w:val="0"/>
        <w:adjustRightInd/>
        <w:spacing w:line="240" w:lineRule="auto"/>
        <w:rPr>
          <w:rFonts w:hint="eastAsia"/>
          <w:b/>
          <w:bCs/>
          <w:sz w:val="21"/>
          <w:szCs w:val="21"/>
          <w:lang w:val="en-US" w:eastAsia="zh-CN"/>
        </w:rPr>
      </w:pPr>
      <w:r>
        <w:rPr>
          <w:rFonts w:hint="eastAsia"/>
          <w:b/>
          <w:bCs/>
          <w:sz w:val="21"/>
          <w:szCs w:val="21"/>
          <w:lang w:val="en-US" w:eastAsia="zh-CN"/>
        </w:rPr>
        <w:t>二、</w:t>
      </w:r>
      <w:r>
        <w:rPr>
          <w:rFonts w:hint="eastAsia" w:ascii="宋体" w:hAnsi="宋体" w:cs="宋体"/>
          <w:b/>
          <w:bCs/>
          <w:sz w:val="21"/>
          <w:szCs w:val="21"/>
        </w:rPr>
        <w:t>非选择</w:t>
      </w:r>
      <w:r>
        <w:rPr>
          <w:rFonts w:ascii="宋体" w:hAnsi="宋体" w:cs="宋体"/>
          <w:b/>
          <w:bCs/>
          <w:sz w:val="21"/>
          <w:szCs w:val="21"/>
        </w:rPr>
        <w:t>题</w:t>
      </w:r>
    </w:p>
    <w:p w14:paraId="1D5813E6">
      <w:pPr>
        <w:keepNext w:val="0"/>
        <w:keepLines w:val="0"/>
        <w:pageBreakBefore w:val="0"/>
        <w:widowControl w:val="0"/>
        <w:shd w:val="clear" w:color="auto" w:fill="auto"/>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Pr>
        <w:t>阅读材料，完成下列要求。</w:t>
      </w:r>
    </w:p>
    <w:p w14:paraId="11AB970A">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目前，我国中等收入群体规模持续扩大，但与发达国家相比，中等收入群体比重仍明显偏低。中等收入群体的经营性收入和转移性收入稳定增长，但在城镇家庭和农村家庭存在不平衡。同时，经济增速逐步放缓；劳动、土地、资本、技术和数据等要素流动不够顺畅，制约居民通过要素价值实现稳定增收；收入分配制度仍不完善，初次分配中劳动报酬占比较低；人力资本水平与发达国家相比仍有较大差距；城乡之间、区域之间、群体之间的制度碎片化、待遇差异化等问题仍较为突出，等等，这些都直接影响了中等收入群体的巩固和扩大。</w:t>
      </w:r>
    </w:p>
    <w:p w14:paraId="635ADDF5">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党的二十大报告提出，“到二○三五年，我国发展的总体目标是：……人民生活更加幸福美好，居民人均可支配收入再上新台阶，中等收入群体比重明显提高……”</w:t>
      </w:r>
    </w:p>
    <w:p w14:paraId="390C2951">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结合材料，运用“完善个人收入分配”知识，就如何扩大中等收入群体提出合理化建议。</w:t>
      </w:r>
    </w:p>
    <w:p w14:paraId="184092B9">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50DE9266">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5EFD69E1">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6C783CCD">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7C4F14A1">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23508775">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451CCB1C">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72727469">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57603567">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5E225799">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539AE6BA">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539A9EBC">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7B95FF55">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555C229D">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15C895B0">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0213FA6C">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141E1161">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2742A18A">
      <w:pPr>
        <w:keepNext w:val="0"/>
        <w:keepLines w:val="0"/>
        <w:pageBreakBefore w:val="0"/>
        <w:widowControl w:val="0"/>
        <w:kinsoku/>
        <w:wordWrap/>
        <w:overflowPunct/>
        <w:topLinePunct w:val="0"/>
        <w:autoSpaceDE/>
        <w:autoSpaceDN/>
        <w:bidi w:val="0"/>
        <w:adjustRightInd/>
        <w:spacing w:line="240" w:lineRule="auto"/>
        <w:ind w:firstLine="0" w:firstLineChars="0"/>
        <w:rPr>
          <w:rFonts w:hint="eastAsia" w:ascii="宋体" w:hAnsi="宋体" w:eastAsia="宋体" w:cs="宋体"/>
          <w:sz w:val="21"/>
          <w:szCs w:val="21"/>
          <w:lang w:val="en-US" w:eastAsia="zh-CN"/>
        </w:rPr>
      </w:pPr>
    </w:p>
    <w:p w14:paraId="46500C68">
      <w:pPr>
        <w:keepNext w:val="0"/>
        <w:keepLines w:val="0"/>
        <w:pageBreakBefore w:val="0"/>
        <w:widowControl w:val="0"/>
        <w:shd w:val="clear" w:color="auto" w:fill="auto"/>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lang w:val="en-US" w:eastAsia="zh-CN"/>
        </w:rPr>
      </w:pPr>
    </w:p>
    <w:p w14:paraId="4AEF1339">
      <w:pPr>
        <w:keepNext w:val="0"/>
        <w:keepLines w:val="0"/>
        <w:pageBreakBefore w:val="0"/>
        <w:widowControl w:val="0"/>
        <w:shd w:val="clear" w:color="auto" w:fill="auto"/>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阅读材料，完成下列要求。</w:t>
      </w:r>
    </w:p>
    <w:p w14:paraId="0542B21F">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2020年10月26日至29日，中国共产党第十九届中央委员会第五次全体会议在北京举行。会议审议通过了《中共中央关于制定国民经济和社会发展第十四个五年规划和二〇三五年远景目标的建议》，描绘了我国进入新发展阶段的发展蓝图，提出了“十四五”时期经济社会发展主要目标，其中包括：实现更加充分更高质量就业，居民收入增长和经济增长基本同步，分配结构明显改善，基本公共服务均等化水平明显提高，全民受教育程度不断提升，多层次社会保障体系更加健全，卫生健康体系更加完善，脱贫攻坚成果巩固拓展，乡村振兴战略全面推进。</w:t>
      </w:r>
    </w:p>
    <w:p w14:paraId="4FA5AB87">
      <w:pPr>
        <w:keepNext w:val="0"/>
        <w:keepLines w:val="0"/>
        <w:pageBreakBefore w:val="0"/>
        <w:widowControl w:val="0"/>
        <w:shd w:val="clear" w:color="auto" w:fill="FFFFFF"/>
        <w:kinsoku/>
        <w:wordWrap/>
        <w:overflowPunct/>
        <w:topLinePunct w:val="0"/>
        <w:autoSpaceDE/>
        <w:autoSpaceDN/>
        <w:bidi w:val="0"/>
        <w:adjustRightInd/>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sz w:val="21"/>
          <w:szCs w:val="21"/>
        </w:rPr>
        <w:t>结合材料，运用“个人收入的分配”有关知识，说明如何实现上述目标。</w:t>
      </w:r>
    </w:p>
    <w:p w14:paraId="734B1D5C">
      <w:pPr>
        <w:keepNext w:val="0"/>
        <w:keepLines w:val="0"/>
        <w:pageBreakBefore w:val="0"/>
        <w:widowControl w:val="0"/>
        <w:kinsoku/>
        <w:wordWrap/>
        <w:overflowPunct/>
        <w:topLinePunct w:val="0"/>
        <w:autoSpaceDE/>
        <w:autoSpaceDN/>
        <w:bidi w:val="0"/>
        <w:adjustRightInd/>
        <w:ind w:firstLine="0" w:firstLineChars="0"/>
        <w:rPr>
          <w:rFonts w:hint="eastAsia" w:ascii="宋体" w:hAnsi="宋体" w:eastAsia="宋体" w:cs="宋体"/>
          <w:sz w:val="21"/>
          <w:szCs w:val="21"/>
        </w:rPr>
      </w:pPr>
    </w:p>
    <w:p w14:paraId="1A9B5701">
      <w:pPr>
        <w:jc w:val="center"/>
        <w:rPr>
          <w:rFonts w:hint="eastAsia"/>
          <w:lang w:eastAsia="zh-CN"/>
        </w:rPr>
      </w:pPr>
    </w:p>
    <w:p w14:paraId="71B0BA9A">
      <w:pPr>
        <w:jc w:val="center"/>
        <w:rPr>
          <w:rFonts w:hint="eastAsia"/>
          <w:lang w:eastAsia="zh-CN"/>
        </w:rPr>
      </w:pPr>
    </w:p>
    <w:p w14:paraId="5A19FC2B">
      <w:pPr>
        <w:jc w:val="center"/>
        <w:rPr>
          <w:rFonts w:hint="eastAsia"/>
          <w:lang w:eastAsia="zh-CN"/>
        </w:rPr>
      </w:pPr>
    </w:p>
    <w:p w14:paraId="5794F11B">
      <w:pPr>
        <w:jc w:val="center"/>
        <w:rPr>
          <w:rFonts w:hint="eastAsia"/>
          <w:lang w:eastAsia="zh-CN"/>
        </w:rPr>
      </w:pPr>
    </w:p>
    <w:p w14:paraId="1E9EE348">
      <w:pPr>
        <w:jc w:val="center"/>
        <w:rPr>
          <w:rFonts w:hint="eastAsia"/>
          <w:lang w:eastAsia="zh-CN"/>
        </w:rPr>
      </w:pPr>
    </w:p>
    <w:p w14:paraId="2E6EDD83">
      <w:pPr>
        <w:jc w:val="center"/>
        <w:rPr>
          <w:rFonts w:hint="eastAsia"/>
          <w:lang w:eastAsia="zh-CN"/>
        </w:rPr>
      </w:pPr>
    </w:p>
    <w:p w14:paraId="120988F0">
      <w:pPr>
        <w:jc w:val="center"/>
        <w:rPr>
          <w:rFonts w:hint="eastAsia"/>
          <w:lang w:eastAsia="zh-CN"/>
        </w:rPr>
      </w:pPr>
    </w:p>
    <w:p w14:paraId="65868EFE">
      <w:pPr>
        <w:jc w:val="center"/>
        <w:rPr>
          <w:rFonts w:hint="eastAsia"/>
          <w:lang w:eastAsia="zh-CN"/>
        </w:rPr>
      </w:pPr>
    </w:p>
    <w:p w14:paraId="52C34ECD">
      <w:pPr>
        <w:jc w:val="center"/>
        <w:rPr>
          <w:rFonts w:hint="eastAsia"/>
          <w:lang w:eastAsia="zh-CN"/>
        </w:rPr>
      </w:pPr>
    </w:p>
    <w:p w14:paraId="2D4966AA">
      <w:pPr>
        <w:jc w:val="center"/>
        <w:rPr>
          <w:rFonts w:hint="eastAsia"/>
          <w:lang w:eastAsia="zh-CN"/>
        </w:rPr>
      </w:pPr>
    </w:p>
    <w:p w14:paraId="6430189A">
      <w:pPr>
        <w:jc w:val="center"/>
        <w:rPr>
          <w:rFonts w:hint="eastAsia"/>
          <w:lang w:eastAsia="zh-CN"/>
        </w:rPr>
      </w:pPr>
    </w:p>
    <w:p w14:paraId="0E7E75D3">
      <w:pPr>
        <w:jc w:val="center"/>
        <w:rPr>
          <w:rFonts w:hint="eastAsia"/>
          <w:lang w:eastAsia="zh-CN"/>
        </w:rPr>
      </w:pPr>
    </w:p>
    <w:p w14:paraId="0CE2A15A">
      <w:pPr>
        <w:jc w:val="center"/>
        <w:rPr>
          <w:rFonts w:hint="eastAsia"/>
          <w:lang w:eastAsia="zh-CN"/>
        </w:rPr>
      </w:pPr>
    </w:p>
    <w:p w14:paraId="20B136B9">
      <w:pPr>
        <w:jc w:val="center"/>
        <w:rPr>
          <w:rFonts w:hint="eastAsia"/>
          <w:lang w:eastAsia="zh-CN"/>
        </w:rPr>
      </w:pPr>
    </w:p>
    <w:p w14:paraId="68C4ABE1">
      <w:pPr>
        <w:jc w:val="center"/>
        <w:rPr>
          <w:rFonts w:hint="eastAsia"/>
          <w:lang w:eastAsia="zh-CN"/>
        </w:rPr>
      </w:pPr>
    </w:p>
    <w:p w14:paraId="5CC47E5C">
      <w:pPr>
        <w:jc w:val="center"/>
        <w:rPr>
          <w:rFonts w:hint="eastAsia"/>
          <w:lang w:eastAsia="zh-CN"/>
        </w:rPr>
      </w:pPr>
    </w:p>
    <w:p w14:paraId="46F8A20D">
      <w:pPr>
        <w:jc w:val="center"/>
        <w:rPr>
          <w:rFonts w:hint="eastAsia"/>
          <w:lang w:eastAsia="zh-CN"/>
        </w:rPr>
      </w:pPr>
    </w:p>
    <w:p w14:paraId="2C879F65">
      <w:pPr>
        <w:jc w:val="center"/>
        <w:rPr>
          <w:rFonts w:hint="eastAsia"/>
          <w:lang w:eastAsia="zh-CN"/>
        </w:rPr>
      </w:pPr>
    </w:p>
    <w:p w14:paraId="6990AE3C">
      <w:pPr>
        <w:jc w:val="center"/>
        <w:rPr>
          <w:rFonts w:hint="eastAsia"/>
          <w:lang w:eastAsia="zh-CN"/>
        </w:rPr>
      </w:pPr>
    </w:p>
    <w:p w14:paraId="72B9F707">
      <w:pPr>
        <w:jc w:val="center"/>
        <w:rPr>
          <w:rFonts w:hint="eastAsia"/>
          <w:lang w:eastAsia="zh-CN"/>
        </w:rPr>
      </w:pPr>
    </w:p>
    <w:p w14:paraId="2CBEB0AC">
      <w:pPr>
        <w:jc w:val="center"/>
        <w:rPr>
          <w:rFonts w:hint="eastAsia"/>
          <w:lang w:eastAsia="zh-CN"/>
        </w:rPr>
      </w:pPr>
    </w:p>
    <w:p w14:paraId="73D693DF">
      <w:pPr>
        <w:jc w:val="center"/>
        <w:rPr>
          <w:rFonts w:hint="eastAsia"/>
          <w:lang w:eastAsia="zh-CN"/>
        </w:rPr>
      </w:pPr>
    </w:p>
    <w:p w14:paraId="07CB45A3">
      <w:pPr>
        <w:jc w:val="center"/>
        <w:rPr>
          <w:rFonts w:hint="eastAsia"/>
          <w:lang w:eastAsia="zh-CN"/>
        </w:rPr>
      </w:pPr>
    </w:p>
    <w:p w14:paraId="7DD98C51">
      <w:pPr>
        <w:jc w:val="center"/>
        <w:rPr>
          <w:rFonts w:hint="eastAsia"/>
          <w:lang w:eastAsia="zh-CN"/>
        </w:rPr>
      </w:pPr>
    </w:p>
    <w:p w14:paraId="14AC249E">
      <w:pPr>
        <w:jc w:val="center"/>
        <w:rPr>
          <w:rFonts w:hint="eastAsia"/>
          <w:lang w:eastAsia="zh-CN"/>
        </w:rPr>
      </w:pPr>
    </w:p>
    <w:p w14:paraId="3E23B560">
      <w:pPr>
        <w:jc w:val="center"/>
        <w:rPr>
          <w:rFonts w:hint="eastAsia"/>
          <w:lang w:eastAsia="zh-CN"/>
        </w:rPr>
      </w:pPr>
    </w:p>
    <w:p w14:paraId="083749A6">
      <w:pPr>
        <w:jc w:val="center"/>
        <w:rPr>
          <w:rFonts w:hint="eastAsia"/>
          <w:lang w:eastAsia="zh-CN"/>
        </w:rPr>
      </w:pPr>
    </w:p>
    <w:p w14:paraId="06A88114">
      <w:pPr>
        <w:jc w:val="center"/>
        <w:rPr>
          <w:rFonts w:hint="eastAsia"/>
          <w:lang w:eastAsia="zh-CN"/>
        </w:rPr>
      </w:pPr>
    </w:p>
    <w:p w14:paraId="452017CB">
      <w:pPr>
        <w:jc w:val="center"/>
        <w:rPr>
          <w:rFonts w:hint="eastAsia"/>
          <w:lang w:eastAsia="zh-CN"/>
        </w:rPr>
      </w:pPr>
    </w:p>
    <w:p w14:paraId="49B0C761">
      <w:pPr>
        <w:jc w:val="center"/>
        <w:rPr>
          <w:rFonts w:hint="eastAsia"/>
          <w:lang w:eastAsia="zh-CN"/>
        </w:rPr>
      </w:pPr>
    </w:p>
    <w:p w14:paraId="771EA226">
      <w:pPr>
        <w:jc w:val="center"/>
        <w:rPr>
          <w:rFonts w:hint="eastAsia"/>
          <w:lang w:eastAsia="zh-CN"/>
        </w:rPr>
      </w:pPr>
    </w:p>
    <w:p w14:paraId="585DF4A6">
      <w:pPr>
        <w:jc w:val="center"/>
        <w:rPr>
          <w:rFonts w:hint="eastAsia"/>
          <w:lang w:eastAsia="zh-CN"/>
        </w:rPr>
      </w:pPr>
    </w:p>
    <w:p w14:paraId="18F2DF73">
      <w:pPr>
        <w:jc w:val="center"/>
        <w:rPr>
          <w:rFonts w:hint="eastAsia"/>
          <w:lang w:eastAsia="zh-CN"/>
        </w:rPr>
      </w:pPr>
    </w:p>
    <w:p w14:paraId="1910E201">
      <w:pPr>
        <w:keepNext w:val="0"/>
        <w:keepLines w:val="0"/>
        <w:pageBreakBefore w:val="0"/>
        <w:widowControl w:val="0"/>
        <w:kinsoku/>
        <w:wordWrap/>
        <w:overflowPunct/>
        <w:topLinePunct w:val="0"/>
        <w:autoSpaceDE/>
        <w:autoSpaceDN/>
        <w:bidi w:val="0"/>
        <w:adjustRightInd/>
        <w:jc w:val="center"/>
        <w:rPr>
          <w:rFonts w:hint="eastAsia"/>
          <w:lang w:eastAsia="zh-CN"/>
        </w:rPr>
      </w:pPr>
    </w:p>
    <w:p w14:paraId="09AA7B7D">
      <w:pPr>
        <w:keepNext w:val="0"/>
        <w:keepLines w:val="0"/>
        <w:pageBreakBefore w:val="0"/>
        <w:widowControl w:val="0"/>
        <w:kinsoku/>
        <w:wordWrap/>
        <w:overflowPunct/>
        <w:topLinePunct w:val="0"/>
        <w:autoSpaceDE/>
        <w:autoSpaceDN/>
        <w:bidi w:val="0"/>
        <w:adjustRightInd/>
        <w:jc w:val="center"/>
        <w:rPr>
          <w:rFonts w:hint="eastAsia"/>
          <w:lang w:eastAsia="zh-CN"/>
        </w:rPr>
      </w:pPr>
    </w:p>
    <w:p w14:paraId="2B9E0B7B">
      <w:pPr>
        <w:keepNext w:val="0"/>
        <w:keepLines w:val="0"/>
        <w:pageBreakBefore w:val="0"/>
        <w:widowControl w:val="0"/>
        <w:kinsoku/>
        <w:wordWrap/>
        <w:overflowPunct/>
        <w:topLinePunct w:val="0"/>
        <w:autoSpaceDE/>
        <w:autoSpaceDN/>
        <w:bidi w:val="0"/>
        <w:adjustRightInd/>
        <w:jc w:val="center"/>
        <w:rPr>
          <w:rFonts w:hint="eastAsia"/>
          <w:lang w:eastAsia="zh-CN"/>
        </w:rPr>
      </w:pPr>
    </w:p>
    <w:p w14:paraId="7ADC7BB8">
      <w:pPr>
        <w:keepNext w:val="0"/>
        <w:keepLines w:val="0"/>
        <w:pageBreakBefore w:val="0"/>
        <w:widowControl w:val="0"/>
        <w:kinsoku/>
        <w:wordWrap/>
        <w:overflowPunct/>
        <w:topLinePunct w:val="0"/>
        <w:autoSpaceDE/>
        <w:autoSpaceDN/>
        <w:bidi w:val="0"/>
        <w:adjustRightInd/>
        <w:jc w:val="center"/>
        <w:rPr>
          <w:rFonts w:hint="eastAsia"/>
          <w:lang w:eastAsia="zh-CN"/>
        </w:rPr>
      </w:pPr>
    </w:p>
    <w:p w14:paraId="645CFE16">
      <w:pPr>
        <w:keepNext w:val="0"/>
        <w:keepLines w:val="0"/>
        <w:pageBreakBefore w:val="0"/>
        <w:widowControl w:val="0"/>
        <w:kinsoku/>
        <w:wordWrap/>
        <w:overflowPunct/>
        <w:topLinePunct w:val="0"/>
        <w:autoSpaceDE/>
        <w:autoSpaceDN/>
        <w:bidi w:val="0"/>
        <w:adjustRightInd/>
        <w:jc w:val="center"/>
        <w:rPr>
          <w:rFonts w:hint="eastAsia"/>
          <w:lang w:eastAsia="zh-CN"/>
        </w:rPr>
      </w:pPr>
    </w:p>
    <w:p w14:paraId="78F38E9A">
      <w:pPr>
        <w:keepNext w:val="0"/>
        <w:keepLines w:val="0"/>
        <w:pageBreakBefore w:val="0"/>
        <w:widowControl w:val="0"/>
        <w:kinsoku/>
        <w:wordWrap/>
        <w:overflowPunct/>
        <w:topLinePunct w:val="0"/>
        <w:autoSpaceDE/>
        <w:autoSpaceDN/>
        <w:bidi w:val="0"/>
        <w:adjustRightInd/>
        <w:jc w:val="center"/>
        <w:rPr>
          <w:rFonts w:hint="eastAsia"/>
          <w:lang w:eastAsia="zh-CN"/>
        </w:rPr>
      </w:pPr>
    </w:p>
    <w:p w14:paraId="0C01BCC2">
      <w:pPr>
        <w:keepNext w:val="0"/>
        <w:keepLines w:val="0"/>
        <w:pageBreakBefore w:val="0"/>
        <w:widowControl w:val="0"/>
        <w:kinsoku/>
        <w:wordWrap/>
        <w:overflowPunct/>
        <w:topLinePunct w:val="0"/>
        <w:autoSpaceDE/>
        <w:autoSpaceDN/>
        <w:bidi w:val="0"/>
        <w:adjustRightInd/>
        <w:jc w:val="center"/>
        <w:rPr>
          <w:rFonts w:hint="eastAsia"/>
          <w:lang w:eastAsia="zh-CN"/>
        </w:rPr>
      </w:pPr>
    </w:p>
    <w:p w14:paraId="01AFC9C3">
      <w:pPr>
        <w:keepNext w:val="0"/>
        <w:keepLines w:val="0"/>
        <w:pageBreakBefore w:val="0"/>
        <w:widowControl w:val="0"/>
        <w:kinsoku/>
        <w:wordWrap/>
        <w:overflowPunct/>
        <w:topLinePunct w:val="0"/>
        <w:autoSpaceDE/>
        <w:autoSpaceDN/>
        <w:bidi w:val="0"/>
        <w:adjustRightInd/>
        <w:jc w:val="center"/>
        <w:rPr>
          <w:rFonts w:hint="eastAsia"/>
          <w:lang w:eastAsia="zh-CN"/>
        </w:rPr>
      </w:pPr>
    </w:p>
    <w:p w14:paraId="3152E0FA">
      <w:pPr>
        <w:keepNext w:val="0"/>
        <w:keepLines w:val="0"/>
        <w:pageBreakBefore w:val="0"/>
        <w:widowControl w:val="0"/>
        <w:kinsoku/>
        <w:wordWrap/>
        <w:overflowPunct/>
        <w:topLinePunct w:val="0"/>
        <w:autoSpaceDE/>
        <w:autoSpaceDN/>
        <w:bidi w:val="0"/>
        <w:adjustRightInd/>
        <w:jc w:val="center"/>
        <w:rPr>
          <w:rFonts w:hint="eastAsia"/>
          <w:lang w:eastAsia="zh-CN"/>
        </w:rPr>
      </w:pPr>
    </w:p>
    <w:p w14:paraId="5EC3F362">
      <w:pPr>
        <w:keepNext w:val="0"/>
        <w:keepLines w:val="0"/>
        <w:pageBreakBefore w:val="0"/>
        <w:widowControl w:val="0"/>
        <w:kinsoku/>
        <w:wordWrap/>
        <w:overflowPunct/>
        <w:topLinePunct w:val="0"/>
        <w:autoSpaceDE/>
        <w:autoSpaceDN/>
        <w:bidi w:val="0"/>
        <w:adjustRightInd/>
        <w:jc w:val="center"/>
        <w:rPr>
          <w:rFonts w:hint="eastAsia"/>
          <w:lang w:eastAsia="zh-CN"/>
        </w:rPr>
      </w:pPr>
    </w:p>
    <w:p w14:paraId="78CAA897">
      <w:pPr>
        <w:keepNext w:val="0"/>
        <w:keepLines w:val="0"/>
        <w:pageBreakBefore w:val="0"/>
        <w:widowControl w:val="0"/>
        <w:kinsoku/>
        <w:wordWrap/>
        <w:overflowPunct/>
        <w:topLinePunct w:val="0"/>
        <w:autoSpaceDE/>
        <w:autoSpaceDN/>
        <w:bidi w:val="0"/>
        <w:adjustRightInd/>
        <w:jc w:val="center"/>
        <w:rPr>
          <w:rFonts w:hint="eastAsia"/>
          <w:lang w:eastAsia="zh-CN"/>
        </w:rPr>
      </w:pPr>
    </w:p>
    <w:p w14:paraId="4743AE90">
      <w:pPr>
        <w:keepNext w:val="0"/>
        <w:keepLines w:val="0"/>
        <w:pageBreakBefore w:val="0"/>
        <w:widowControl w:val="0"/>
        <w:kinsoku/>
        <w:wordWrap/>
        <w:overflowPunct/>
        <w:topLinePunct w:val="0"/>
        <w:autoSpaceDE/>
        <w:autoSpaceDN/>
        <w:bidi w:val="0"/>
        <w:adjustRightInd/>
        <w:jc w:val="center"/>
        <w:rPr>
          <w:rFonts w:hint="eastAsia"/>
          <w:lang w:eastAsia="zh-CN"/>
        </w:rPr>
      </w:pPr>
    </w:p>
    <w:p w14:paraId="49468147">
      <w:pPr>
        <w:keepNext w:val="0"/>
        <w:keepLines w:val="0"/>
        <w:pageBreakBefore w:val="0"/>
        <w:widowControl w:val="0"/>
        <w:kinsoku/>
        <w:wordWrap/>
        <w:overflowPunct/>
        <w:topLinePunct w:val="0"/>
        <w:autoSpaceDE/>
        <w:autoSpaceDN/>
        <w:bidi w:val="0"/>
        <w:adjustRightInd/>
        <w:jc w:val="center"/>
        <w:rPr>
          <w:rFonts w:hint="eastAsia"/>
          <w:lang w:eastAsia="zh-CN"/>
        </w:rPr>
      </w:pPr>
    </w:p>
    <w:p w14:paraId="294C5C4D">
      <w:pPr>
        <w:keepNext w:val="0"/>
        <w:keepLines w:val="0"/>
        <w:pageBreakBefore w:val="0"/>
        <w:widowControl w:val="0"/>
        <w:kinsoku/>
        <w:wordWrap/>
        <w:overflowPunct/>
        <w:topLinePunct w:val="0"/>
        <w:autoSpaceDE/>
        <w:autoSpaceDN/>
        <w:bidi w:val="0"/>
        <w:adjustRightInd/>
        <w:jc w:val="center"/>
        <w:rPr>
          <w:rFonts w:hint="eastAsia"/>
          <w:lang w:eastAsia="zh-CN"/>
        </w:rPr>
      </w:pPr>
    </w:p>
    <w:p w14:paraId="23FB3195">
      <w:pPr>
        <w:keepNext w:val="0"/>
        <w:keepLines w:val="0"/>
        <w:pageBreakBefore w:val="0"/>
        <w:widowControl w:val="0"/>
        <w:kinsoku/>
        <w:wordWrap/>
        <w:overflowPunct/>
        <w:topLinePunct w:val="0"/>
        <w:autoSpaceDE/>
        <w:autoSpaceDN/>
        <w:bidi w:val="0"/>
        <w:adjustRightInd/>
        <w:jc w:val="center"/>
        <w:rPr>
          <w:rFonts w:hint="eastAsia"/>
          <w:lang w:eastAsia="zh-CN"/>
        </w:rPr>
      </w:pPr>
    </w:p>
    <w:p w14:paraId="23751E55">
      <w:pPr>
        <w:keepNext w:val="0"/>
        <w:keepLines w:val="0"/>
        <w:pageBreakBefore w:val="0"/>
        <w:widowControl w:val="0"/>
        <w:kinsoku/>
        <w:wordWrap/>
        <w:overflowPunct/>
        <w:topLinePunct w:val="0"/>
        <w:autoSpaceDE/>
        <w:autoSpaceDN/>
        <w:bidi w:val="0"/>
        <w:adjustRightInd/>
        <w:jc w:val="center"/>
        <w:rPr>
          <w:rFonts w:hint="eastAsia"/>
          <w:lang w:eastAsia="zh-CN"/>
        </w:rPr>
      </w:pPr>
    </w:p>
    <w:p w14:paraId="0D2E10C7">
      <w:pPr>
        <w:keepNext w:val="0"/>
        <w:keepLines w:val="0"/>
        <w:pageBreakBefore w:val="0"/>
        <w:widowControl w:val="0"/>
        <w:kinsoku/>
        <w:wordWrap/>
        <w:overflowPunct/>
        <w:topLinePunct w:val="0"/>
        <w:autoSpaceDE/>
        <w:autoSpaceDN/>
        <w:bidi w:val="0"/>
        <w:adjustRightInd/>
        <w:jc w:val="center"/>
        <w:rPr>
          <w:rFonts w:hint="eastAsia" w:eastAsiaTheme="minorEastAsia"/>
          <w:lang w:eastAsia="zh-CN"/>
        </w:rPr>
      </w:pPr>
      <w:r>
        <w:rPr>
          <w:rFonts w:hint="eastAsia"/>
          <w:b/>
          <w:bCs/>
          <w:sz w:val="24"/>
          <w:szCs w:val="24"/>
          <w:lang w:eastAsia="zh-CN"/>
        </w:rPr>
        <w:t>参考答案</w:t>
      </w:r>
    </w:p>
    <w:p w14:paraId="533E9979">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pacing w:line="240" w:lineRule="auto"/>
        <w:jc w:val="left"/>
        <w:textAlignment w:val="center"/>
        <w:rPr>
          <w:rFonts w:hint="eastAsia"/>
          <w:sz w:val="21"/>
          <w:szCs w:val="21"/>
          <w:lang w:val="en-US" w:eastAsia="zh-CN"/>
        </w:rPr>
      </w:pPr>
      <w:r>
        <w:rPr>
          <w:rFonts w:hint="eastAsia"/>
          <w:sz w:val="21"/>
          <w:szCs w:val="21"/>
          <w:lang w:val="en-US" w:eastAsia="zh-CN"/>
        </w:rPr>
        <w:t>1、</w:t>
      </w:r>
      <w:r>
        <w:rPr>
          <w:rFonts w:ascii="Times New Roman" w:hAnsi="Times New Roman" w:eastAsia="仿宋_GB2312" w:cs="Times New Roman"/>
          <w:sz w:val="21"/>
          <w:szCs w:val="21"/>
        </w:rPr>
        <w:t>A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2、C    3、</w:t>
      </w:r>
      <w:r>
        <w:rPr>
          <w:rFonts w:ascii="Times New Roman" w:hAnsi="Times New Roman" w:eastAsia="仿宋_GB2312" w:cs="Times New Roman"/>
          <w:sz w:val="21"/>
          <w:szCs w:val="21"/>
        </w:rPr>
        <w:t>D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4、C    5、</w:t>
      </w:r>
      <w:r>
        <w:rPr>
          <w:rFonts w:ascii="Times New Roman" w:hAnsi="Times New Roman" w:eastAsia="仿宋_GB2312" w:cs="Times New Roman"/>
          <w:sz w:val="21"/>
          <w:szCs w:val="21"/>
        </w:rPr>
        <w:t>B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6、D    7、</w:t>
      </w:r>
      <w:r>
        <w:rPr>
          <w:rFonts w:ascii="Times New Roman" w:hAnsi="Times New Roman" w:eastAsia="仿宋_GB2312" w:cs="Times New Roman"/>
          <w:sz w:val="21"/>
          <w:szCs w:val="21"/>
        </w:rPr>
        <w:t>A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8、B</w:t>
      </w:r>
    </w:p>
    <w:p w14:paraId="5DD38DAD">
      <w:pPr>
        <w:keepNext w:val="0"/>
        <w:keepLines w:val="0"/>
        <w:pageBreakBefore w:val="0"/>
        <w:widowControl w:val="0"/>
        <w:kinsoku/>
        <w:wordWrap/>
        <w:overflowPunct/>
        <w:topLinePunct w:val="0"/>
        <w:autoSpaceDE/>
        <w:autoSpaceDN/>
        <w:bidi w:val="0"/>
        <w:adjustRightInd/>
        <w:spacing w:line="240" w:lineRule="auto"/>
        <w:rPr>
          <w:rFonts w:hint="eastAsia"/>
          <w:sz w:val="21"/>
          <w:szCs w:val="21"/>
          <w:lang w:val="en-US" w:eastAsia="zh-CN"/>
        </w:rPr>
      </w:pPr>
      <w:r>
        <w:rPr>
          <w:rFonts w:hint="eastAsia"/>
          <w:sz w:val="21"/>
          <w:szCs w:val="21"/>
          <w:lang w:val="en-US" w:eastAsia="zh-CN"/>
        </w:rPr>
        <w:t>9、</w:t>
      </w:r>
      <w:r>
        <w:rPr>
          <w:rFonts w:ascii="Times New Roman" w:hAnsi="Times New Roman" w:eastAsia="仿宋_GB2312" w:cs="Times New Roman"/>
          <w:sz w:val="21"/>
          <w:szCs w:val="21"/>
        </w:rPr>
        <w:t>B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10、D    11、</w:t>
      </w:r>
      <w:r>
        <w:rPr>
          <w:rFonts w:ascii="Times New Roman" w:hAnsi="Times New Roman" w:eastAsia="仿宋_GB2312" w:cs="Times New Roman"/>
          <w:sz w:val="21"/>
          <w:szCs w:val="21"/>
        </w:rPr>
        <w:t>B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12、C    13、</w:t>
      </w:r>
      <w:r>
        <w:rPr>
          <w:rFonts w:ascii="Times New Roman" w:hAnsi="Times New Roman" w:eastAsia="仿宋_GB2312" w:cs="Times New Roman"/>
          <w:sz w:val="21"/>
          <w:szCs w:val="21"/>
        </w:rPr>
        <w:t>B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14、</w:t>
      </w:r>
      <w:r>
        <w:rPr>
          <w:rFonts w:hint="eastAsia" w:ascii="黑体" w:hAnsi="黑体" w:eastAsia="黑体" w:cs="黑体"/>
          <w:b w:val="0"/>
          <w:bCs/>
          <w:sz w:val="21"/>
          <w:szCs w:val="21"/>
          <w:lang w:val="en-US" w:eastAsia="zh-CN"/>
        </w:rPr>
        <w:t xml:space="preserve">C    </w:t>
      </w:r>
      <w:r>
        <w:rPr>
          <w:rFonts w:hint="eastAsia"/>
          <w:sz w:val="21"/>
          <w:szCs w:val="21"/>
          <w:lang w:val="en-US" w:eastAsia="zh-CN"/>
        </w:rPr>
        <w:t>15、</w:t>
      </w:r>
      <w:r>
        <w:rPr>
          <w:rFonts w:ascii="Times New Roman" w:hAnsi="Times New Roman" w:eastAsia="仿宋_GB2312" w:cs="Times New Roman"/>
          <w:sz w:val="21"/>
          <w:szCs w:val="21"/>
        </w:rPr>
        <w:t>C　</w:t>
      </w:r>
      <w:r>
        <w:rPr>
          <w:rFonts w:hint="eastAsia" w:ascii="Times New Roman" w:hAnsi="Times New Roman" w:eastAsia="仿宋_GB2312" w:cs="Times New Roman"/>
          <w:sz w:val="21"/>
          <w:szCs w:val="21"/>
          <w:lang w:val="en-US" w:eastAsia="zh-CN"/>
        </w:rPr>
        <w:t xml:space="preserve">  </w:t>
      </w:r>
      <w:r>
        <w:rPr>
          <w:rFonts w:hint="eastAsia"/>
          <w:sz w:val="21"/>
          <w:szCs w:val="21"/>
          <w:lang w:val="en-US" w:eastAsia="zh-CN"/>
        </w:rPr>
        <w:t>16、</w:t>
      </w:r>
      <w:r>
        <w:rPr>
          <w:rFonts w:ascii="Times New Roman" w:hAnsi="Times New Roman" w:eastAsia="仿宋_GB2312" w:cs="Times New Roman"/>
          <w:sz w:val="21"/>
          <w:szCs w:val="21"/>
        </w:rPr>
        <w:t>D</w:t>
      </w:r>
    </w:p>
    <w:p w14:paraId="0121DF8D">
      <w:pPr>
        <w:pStyle w:val="2"/>
        <w:keepNext w:val="0"/>
        <w:keepLines w:val="0"/>
        <w:pageBreakBefore w:val="0"/>
        <w:widowControl w:val="0"/>
        <w:tabs>
          <w:tab w:val="left" w:pos="4253"/>
        </w:tabs>
        <w:kinsoku/>
        <w:wordWrap/>
        <w:overflowPunct/>
        <w:topLinePunct w:val="0"/>
        <w:autoSpaceDE/>
        <w:autoSpaceDN/>
        <w:bidi w:val="0"/>
        <w:adjustRightInd/>
        <w:snapToGrid w:val="0"/>
        <w:spacing w:line="240" w:lineRule="auto"/>
        <w:rPr>
          <w:rFonts w:hint="eastAsia"/>
          <w:sz w:val="21"/>
          <w:szCs w:val="21"/>
          <w:lang w:val="en-US" w:eastAsia="zh-CN"/>
        </w:rPr>
      </w:pPr>
      <w:r>
        <w:rPr>
          <w:rFonts w:hint="eastAsia"/>
          <w:sz w:val="21"/>
          <w:szCs w:val="21"/>
          <w:lang w:val="en-US" w:eastAsia="zh-CN"/>
        </w:rPr>
        <w:t>17、</w:t>
      </w:r>
      <w:r>
        <w:rPr>
          <w:rFonts w:hAnsi="宋体" w:cs="Times New Roman"/>
          <w:sz w:val="21"/>
          <w:szCs w:val="21"/>
        </w:rPr>
        <w:t>①</w:t>
      </w:r>
      <w:r>
        <w:rPr>
          <w:rFonts w:ascii="Times New Roman" w:hAnsi="Times New Roman" w:cs="Times New Roman"/>
          <w:sz w:val="21"/>
          <w:szCs w:val="21"/>
        </w:rPr>
        <w:t>坚持居民收入增长和经济增长基本同步、劳动报酬提高和劳动生产率提高基本同步</w:t>
      </w:r>
      <w:r>
        <w:rPr>
          <w:rFonts w:hint="eastAsia" w:ascii="Times New Roman" w:hAnsi="Times New Roman" w:cs="Times New Roman"/>
          <w:sz w:val="21"/>
          <w:szCs w:val="21"/>
        </w:rPr>
        <w:t>，</w:t>
      </w:r>
      <w:r>
        <w:rPr>
          <w:rFonts w:ascii="Times New Roman" w:hAnsi="Times New Roman" w:cs="Times New Roman"/>
          <w:sz w:val="21"/>
          <w:szCs w:val="21"/>
        </w:rPr>
        <w:t>让居民分享改革发展成果。</w:t>
      </w:r>
      <w:r>
        <w:rPr>
          <w:rFonts w:hAnsi="宋体" w:cs="Times New Roman"/>
          <w:sz w:val="21"/>
          <w:szCs w:val="21"/>
        </w:rPr>
        <w:t>②</w:t>
      </w:r>
      <w:r>
        <w:rPr>
          <w:rFonts w:ascii="Times New Roman" w:hAnsi="Times New Roman" w:cs="Times New Roman"/>
          <w:sz w:val="21"/>
          <w:szCs w:val="21"/>
        </w:rPr>
        <w:t>坚持多劳多得</w:t>
      </w:r>
      <w:r>
        <w:rPr>
          <w:rFonts w:hint="eastAsia" w:ascii="Times New Roman" w:hAnsi="Times New Roman" w:cs="Times New Roman"/>
          <w:sz w:val="21"/>
          <w:szCs w:val="21"/>
        </w:rPr>
        <w:t>，</w:t>
      </w:r>
      <w:r>
        <w:rPr>
          <w:rFonts w:ascii="Times New Roman" w:hAnsi="Times New Roman" w:cs="Times New Roman"/>
          <w:sz w:val="21"/>
          <w:szCs w:val="21"/>
        </w:rPr>
        <w:t>鼓励勤劳致富</w:t>
      </w:r>
      <w:r>
        <w:rPr>
          <w:rFonts w:hint="eastAsia" w:ascii="Times New Roman" w:hAnsi="Times New Roman" w:cs="Times New Roman"/>
          <w:sz w:val="21"/>
          <w:szCs w:val="21"/>
        </w:rPr>
        <w:t>，</w:t>
      </w:r>
      <w:r>
        <w:rPr>
          <w:rFonts w:ascii="Times New Roman" w:hAnsi="Times New Roman" w:cs="Times New Roman"/>
          <w:sz w:val="21"/>
          <w:szCs w:val="21"/>
        </w:rPr>
        <w:t>促进机会公平</w:t>
      </w:r>
      <w:r>
        <w:rPr>
          <w:rFonts w:hint="eastAsia" w:ascii="Times New Roman" w:hAnsi="Times New Roman" w:cs="Times New Roman"/>
          <w:sz w:val="21"/>
          <w:szCs w:val="21"/>
        </w:rPr>
        <w:t>，</w:t>
      </w:r>
      <w:r>
        <w:rPr>
          <w:rFonts w:ascii="Times New Roman" w:hAnsi="Times New Roman" w:cs="Times New Roman"/>
          <w:sz w:val="21"/>
          <w:szCs w:val="21"/>
        </w:rPr>
        <w:t>增加低收入者收入</w:t>
      </w:r>
      <w:r>
        <w:rPr>
          <w:rFonts w:hint="eastAsia" w:ascii="Times New Roman" w:hAnsi="Times New Roman" w:cs="Times New Roman"/>
          <w:sz w:val="21"/>
          <w:szCs w:val="21"/>
        </w:rPr>
        <w:t>，</w:t>
      </w:r>
      <w:r>
        <w:rPr>
          <w:rFonts w:ascii="Times New Roman" w:hAnsi="Times New Roman" w:cs="Times New Roman"/>
          <w:sz w:val="21"/>
          <w:szCs w:val="21"/>
        </w:rPr>
        <w:t>扩大中等收入群体。完善按要素分配政策制度</w:t>
      </w:r>
      <w:r>
        <w:rPr>
          <w:rFonts w:hint="eastAsia" w:ascii="Times New Roman" w:hAnsi="Times New Roman" w:cs="Times New Roman"/>
          <w:sz w:val="21"/>
          <w:szCs w:val="21"/>
        </w:rPr>
        <w:t>，</w:t>
      </w:r>
      <w:r>
        <w:rPr>
          <w:rFonts w:ascii="Times New Roman" w:hAnsi="Times New Roman" w:cs="Times New Roman"/>
          <w:sz w:val="21"/>
          <w:szCs w:val="21"/>
        </w:rPr>
        <w:t>探索多种渠道增加中低收入群众要素收入</w:t>
      </w:r>
      <w:r>
        <w:rPr>
          <w:rFonts w:hint="eastAsia" w:ascii="Times New Roman" w:hAnsi="Times New Roman" w:cs="Times New Roman"/>
          <w:sz w:val="21"/>
          <w:szCs w:val="21"/>
        </w:rPr>
        <w:t>，</w:t>
      </w:r>
      <w:r>
        <w:rPr>
          <w:rFonts w:ascii="Times New Roman" w:hAnsi="Times New Roman" w:cs="Times New Roman"/>
          <w:sz w:val="21"/>
          <w:szCs w:val="21"/>
        </w:rPr>
        <w:t>多渠道增加城乡居民财产性收入。</w:t>
      </w:r>
      <w:r>
        <w:rPr>
          <w:rFonts w:hAnsi="宋体" w:cs="Times New Roman"/>
          <w:sz w:val="21"/>
          <w:szCs w:val="21"/>
        </w:rPr>
        <w:t>③</w:t>
      </w:r>
      <w:r>
        <w:rPr>
          <w:rFonts w:ascii="Times New Roman" w:hAnsi="Times New Roman" w:cs="Times New Roman"/>
          <w:sz w:val="21"/>
          <w:szCs w:val="21"/>
        </w:rPr>
        <w:t>加大税收、社会保障、转移支付等的调节力度。完善个人所得税制度</w:t>
      </w:r>
      <w:r>
        <w:rPr>
          <w:rFonts w:hint="eastAsia" w:ascii="Times New Roman" w:hAnsi="Times New Roman" w:cs="Times New Roman"/>
          <w:sz w:val="21"/>
          <w:szCs w:val="21"/>
        </w:rPr>
        <w:t>，</w:t>
      </w:r>
      <w:r>
        <w:rPr>
          <w:rFonts w:ascii="Times New Roman" w:hAnsi="Times New Roman" w:cs="Times New Roman"/>
          <w:sz w:val="21"/>
          <w:szCs w:val="21"/>
        </w:rPr>
        <w:t>规范收入分配秩序</w:t>
      </w:r>
      <w:r>
        <w:rPr>
          <w:rFonts w:hint="eastAsia" w:ascii="Times New Roman" w:hAnsi="Times New Roman" w:cs="Times New Roman"/>
          <w:sz w:val="21"/>
          <w:szCs w:val="21"/>
        </w:rPr>
        <w:t>，</w:t>
      </w:r>
      <w:r>
        <w:rPr>
          <w:rFonts w:ascii="Times New Roman" w:hAnsi="Times New Roman" w:cs="Times New Roman"/>
          <w:sz w:val="21"/>
          <w:szCs w:val="21"/>
        </w:rPr>
        <w:t>规范财富积累机制。</w:t>
      </w:r>
    </w:p>
    <w:p w14:paraId="1AADA15D">
      <w:pPr>
        <w:keepNext w:val="0"/>
        <w:keepLines w:val="0"/>
        <w:pageBreakBefore w:val="0"/>
        <w:widowControl w:val="0"/>
        <w:kinsoku/>
        <w:wordWrap/>
        <w:overflowPunct/>
        <w:topLinePunct w:val="0"/>
        <w:autoSpaceDE/>
        <w:autoSpaceDN/>
        <w:bidi w:val="0"/>
        <w:adjustRightInd/>
        <w:spacing w:line="240" w:lineRule="auto"/>
        <w:rPr>
          <w:rFonts w:hint="eastAsia"/>
          <w:sz w:val="21"/>
          <w:szCs w:val="21"/>
          <w:lang w:val="en-US" w:eastAsia="zh-CN"/>
        </w:rPr>
      </w:pPr>
    </w:p>
    <w:p w14:paraId="4001FE4D">
      <w:pPr>
        <w:keepNext w:val="0"/>
        <w:keepLines w:val="0"/>
        <w:pageBreakBefore w:val="0"/>
        <w:widowControl w:val="0"/>
        <w:shd w:val="clear" w:color="auto" w:fill="FFFFFF"/>
        <w:kinsoku/>
        <w:wordWrap/>
        <w:overflowPunct/>
        <w:topLinePunct w:val="0"/>
        <w:autoSpaceDE/>
        <w:autoSpaceDN/>
        <w:bidi w:val="0"/>
        <w:adjustRightInd/>
        <w:spacing w:line="240" w:lineRule="auto"/>
        <w:jc w:val="left"/>
        <w:textAlignment w:val="center"/>
        <w:rPr>
          <w:rFonts w:hint="eastAsia"/>
        </w:rPr>
      </w:pPr>
      <w:r>
        <w:rPr>
          <w:rFonts w:hint="eastAsia"/>
          <w:sz w:val="21"/>
          <w:szCs w:val="21"/>
          <w:lang w:val="en-US" w:eastAsia="zh-CN"/>
        </w:rPr>
        <w:t>18、</w:t>
      </w:r>
      <w:r>
        <w:rPr>
          <w:sz w:val="21"/>
          <w:szCs w:val="21"/>
        </w:rPr>
        <w:t>①从根本上来说,以经济建设为中心,解放和发展生产力。坚决打赢脱贫攻坚战，推动乡村振兴。②坚持和完善按劳分配为主体,多种分配方式并存的分配制度,为形成合理有序的国民收入分配格局提供制度保证。③要坚持多劳多得,着重保护劳动所得,要坚持在经济增长的同时实现居民收入同步增长,在劳动生产率提高的同时实现劳动报酬同步提高，理顺国家、企业和个人的分配关系。④促进收入分配更合理、更有序,履行好政府的再分配调节职能,健全以税收、社会保障转移支付等为主要手段的再分配调节机制。</w:t>
      </w:r>
    </w:p>
    <w:p w14:paraId="5E39859E">
      <w:pPr>
        <w:keepNext w:val="0"/>
        <w:keepLines w:val="0"/>
        <w:pageBreakBefore w:val="0"/>
        <w:widowControl w:val="0"/>
        <w:kinsoku/>
        <w:wordWrap/>
        <w:overflowPunct/>
        <w:topLinePunct w:val="0"/>
        <w:autoSpaceDE/>
        <w:autoSpaceDN/>
        <w:bidi w:val="0"/>
        <w:adjustRightInd/>
        <w:rPr>
          <w:rFonts w:hint="eastAsia"/>
        </w:rPr>
      </w:pPr>
    </w:p>
    <w:p w14:paraId="0FA74C9A">
      <w:pPr>
        <w:keepNext w:val="0"/>
        <w:keepLines w:val="0"/>
        <w:pageBreakBefore w:val="0"/>
        <w:widowControl w:val="0"/>
        <w:kinsoku/>
        <w:wordWrap/>
        <w:overflowPunct/>
        <w:topLinePunct w:val="0"/>
        <w:autoSpaceDE/>
        <w:autoSpaceDN/>
        <w:bidi w:val="0"/>
        <w:adjustRightInd/>
        <w:rPr>
          <w:rFonts w:hint="eastAsia"/>
        </w:rPr>
      </w:pPr>
    </w:p>
    <w:sectPr>
      <w:headerReference r:id="rId3" w:type="default"/>
      <w:footerReference r:id="rId4" w:type="default"/>
      <w:pgSz w:w="14570" w:h="20636"/>
      <w:pgMar w:top="567" w:right="567" w:bottom="567" w:left="567" w:header="851" w:footer="992" w:gutter="0"/>
      <w:cols w:equalWidth="0" w:num="2">
        <w:col w:w="6505" w:space="425"/>
        <w:col w:w="650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F0848">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0BFC5">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NDM2MWI0MmU3MzRiMjk4MDgyZTVkY2M2OTA3M2IifQ=="/>
  </w:docVars>
  <w:rsids>
    <w:rsidRoot w:val="00000000"/>
    <w:rsid w:val="004151FC"/>
    <w:rsid w:val="00C02FC6"/>
    <w:rsid w:val="01A55B1C"/>
    <w:rsid w:val="06104B93"/>
    <w:rsid w:val="14252DEF"/>
    <w:rsid w:val="158741A4"/>
    <w:rsid w:val="1C770B1C"/>
    <w:rsid w:val="256C766D"/>
    <w:rsid w:val="27E95284"/>
    <w:rsid w:val="28AA4BD2"/>
    <w:rsid w:val="2B8B2450"/>
    <w:rsid w:val="2DA85BEF"/>
    <w:rsid w:val="321B0EEA"/>
    <w:rsid w:val="387C1495"/>
    <w:rsid w:val="42CF37D3"/>
    <w:rsid w:val="44074888"/>
    <w:rsid w:val="4BFA266B"/>
    <w:rsid w:val="555323A1"/>
    <w:rsid w:val="59146446"/>
    <w:rsid w:val="59667064"/>
    <w:rsid w:val="60057EA8"/>
    <w:rsid w:val="60997EB4"/>
    <w:rsid w:val="62D95D30"/>
    <w:rsid w:val="64ED4A5D"/>
    <w:rsid w:val="68A132BE"/>
    <w:rsid w:val="6B5118BB"/>
    <w:rsid w:val="725D51E5"/>
    <w:rsid w:val="727B566C"/>
    <w:rsid w:val="7B003648"/>
    <w:rsid w:val="7C055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7">
    <w:name w:val="页眉 Char"/>
    <w:link w:val="4"/>
    <w:semiHidden/>
    <w:qFormat/>
    <w:uiPriority w:val="99"/>
    <w:rPr>
      <w:rFonts w:ascii="Times New Roman" w:hAnsi="Times New Roman" w:eastAsia="宋体" w:cs="Times New Roman"/>
      <w:sz w:val="18"/>
      <w:szCs w:val="18"/>
      <w:lang w:eastAsia="zh-CN"/>
    </w:rPr>
  </w:style>
  <w:style w:type="character" w:customStyle="1" w:styleId="8">
    <w:name w:val="页脚 Char"/>
    <w:link w:val="3"/>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4108</Words>
  <Characters>4218</Characters>
  <Lines>0</Lines>
  <Paragraphs>0</Paragraphs>
  <TotalTime>5</TotalTime>
  <ScaleCrop>false</ScaleCrop>
  <LinksUpToDate>false</LinksUpToDate>
  <CharactersWithSpaces>4569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2024-07-29T12:34:00Z</dcterms:created>
  <dc:creator>Administrator</dc:creator>
  <cp:lastModifiedBy>Administrator</cp:lastModifiedBy>
  <dcterms:modified xsi:type="dcterms:W3CDTF">2024-12-20T05:16:23Z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86D00D59DFB9416E862DACB9021DDA98_12</vt:lpwstr>
  </property>
</Properties>
</file>