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D619">
      <w:pPr>
        <w:numPr>
          <w:ilvl w:val="0"/>
          <w:numId w:val="0"/>
        </w:numPr>
        <w:ind w:firstLine="360" w:firstLineChars="10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1.3屈原列传第二课时</w:t>
      </w:r>
    </w:p>
    <w:p w14:paraId="30C388A4">
      <w:pPr>
        <w:numPr>
          <w:ilvl w:val="0"/>
          <w:numId w:val="0"/>
        </w:numPr>
        <w:jc w:val="both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班级______  姓名______    小组_____ _</w:t>
      </w:r>
    </w:p>
    <w:p w14:paraId="038FC037">
      <w:pPr>
        <w:numPr>
          <w:ilvl w:val="0"/>
          <w:numId w:val="1"/>
        </w:numPr>
        <w:ind w:firstLine="211" w:firstLineChars="100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学习目标</w:t>
      </w:r>
    </w:p>
    <w:p w14:paraId="55988385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1、掌握文中5—12段重点实词、虚词和句式等文言知识。 </w:t>
      </w:r>
    </w:p>
    <w:p w14:paraId="1F9E9CB4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2、背诵第三段。</w:t>
      </w:r>
    </w:p>
    <w:p w14:paraId="27FD7906">
      <w:pPr>
        <w:numPr>
          <w:ilvl w:val="0"/>
          <w:numId w:val="1"/>
        </w:numPr>
        <w:ind w:left="0" w:leftChars="0" w:firstLine="211" w:firstLineChars="100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重点、难点</w:t>
      </w:r>
    </w:p>
    <w:p w14:paraId="3E4CDB67">
      <w:pPr>
        <w:numPr>
          <w:ilvl w:val="0"/>
          <w:numId w:val="2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掌握常见的文言实词、虚词、句式，正确理解古今异义词。</w:t>
      </w:r>
    </w:p>
    <w:p w14:paraId="3F5EE694">
      <w:pPr>
        <w:numPr>
          <w:ilvl w:val="0"/>
          <w:numId w:val="1"/>
        </w:numPr>
        <w:ind w:left="0" w:leftChars="0" w:firstLine="211" w:firstLineChars="100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导学流程</w:t>
      </w:r>
    </w:p>
    <w:p w14:paraId="6399ADE2">
      <w:pPr>
        <w:numPr>
          <w:ilvl w:val="0"/>
          <w:numId w:val="0"/>
        </w:numPr>
        <w:ind w:leftChars="100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明年（       ），秦割汉中地与楚以和。楚王曰：“不愿（        ）得地，愿得张仪而甘心焉。”张仪闻，乃曰：“以一仪而当（       ）汉中地，臣请往如楚。”如楚，又因（       ）厚币用事者（        ）臣靳尚，而设诡辩（             ）于怀王之宠姬郑袖。怀王竟听郑袖，复释去（      ）张仪。是时（         ）屈原既疏（       ），不复在位，使于齐，顾反（         ），谏（         ）怀王曰：“何不杀张仪？”怀王悔，追张仪，不及。</w:t>
      </w:r>
    </w:p>
    <w:p w14:paraId="50BE4A94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532961CC">
      <w:pPr>
        <w:pStyle w:val="2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55BBFE41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其后，诸侯共击楚，大破之，杀其将唐眜。</w:t>
      </w:r>
    </w:p>
    <w:p w14:paraId="07AE5880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7F317367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4FEBF3D0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时秦昭王与楚婚，欲与怀王会（      ）。怀王欲行，屈平曰：“秦，虎狼之国，不可信，不如毋行。”怀王稚子子兰劝王行：“奈何绝秦欢！”怀王卒（       ）行。入武关，秦伏兵绝其后，因留（        ）怀王，以求割地。怀王怒，不听。亡走（     ）赵，赵不内（    ）。复之（   ）秦，竟死于秦而归葬。</w:t>
      </w:r>
    </w:p>
    <w:p w14:paraId="77CE8DD1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4D6CDAA8">
      <w:pPr>
        <w:pStyle w:val="2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12412C53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长子顷襄王立，以其弟子兰为令尹。楚人既咎（     ）子兰以劝怀王入秦而不反也。屈平既嫉（      ）之，虽放流，眷顾（         ）楚国，系心（        ）怀王，不忘欲反。冀幸（       ）君之一悟（           ），俗之一改（             ）也。其存君兴国（            ），而欲反覆之（             ），一篇之中，三（       ）致志（         ）焉。然终无可奈何，故不可以反（         ）。卒以此见怀王之终不悟也。人君无（       ）愚智贤不肖（           ），莫（        ）不欲求忠以自为（               ），举贤以自佐（                 ）。然亡国破家相随属（              ），而圣君治国累世（           ）而不见者，其所谓忠者不忠（              ），而所谓贤者不贤也（              ）。怀王以不知忠臣之分（                  ），故内（     ）惑（     ）于（      ）郑袖，外（      ）欺（     ）于张仪，疏屈平而信上官大夫、令尹子兰，兵挫（     ）地削（        ），亡（     ）其六郡，身（     ）客死于秦，为天下笑，此不知（     ）人之祸也。……</w:t>
      </w:r>
    </w:p>
    <w:p w14:paraId="5C3FFF3A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32E37729">
      <w:pPr>
        <w:pStyle w:val="2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246CB557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屈原至于江滨，被发（         ）行吟泽畔，颜色憔悴，形容枯槁。渔父见而问之曰：“子（   ）非三闾大夫欤？何故（       ）而至此？”屈原曰：“举世皆浊而我独清（                         ），众人皆醉而我独醒（                       ），是以（     ）见（    ）放（      ）。”渔父曰：“夫圣人者，不凝滞于物（                       ），而能与世推移（       ）。举世皆浊，何不随其流而扬其波？众人皆醉，何不餔（    ）其糟（  ）而啜（   ）其醨（   ）？何故怀瑾握瑜（            ），而自令（      ）见放为？”屈原曰：“吾闻之，新（      ）沐者必弹冠（                 ），新浴者必振衣（                     ）。人又谁能以身之察察（          ），受物之汶汶者乎（                ）？宁赴常流而葬乎江鱼腹中耳。又安能（      ）以皓皓之白（           ），而蒙（蒙受）世之温蠖（              ）乎？”乃作《怀沙》之赋。……于是怀石，遂自投汨罗以死。</w:t>
      </w:r>
    </w:p>
    <w:p w14:paraId="09E55E0F">
      <w:pPr>
        <w:pStyle w:val="2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7FA16E81">
      <w:pPr>
        <w:pStyle w:val="2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197F8EE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屈原既死之后，楚有宋玉、唐勒、景差之徒（       ）者，皆好辞而以（       ）赋见称（      ）。然皆祖（         ）屈原之从容（         ）辞令，终莫敢直谏。其后楚日以削，数十年竟为秦所灭。……</w:t>
      </w:r>
    </w:p>
    <w:p w14:paraId="4B82C389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3CABD249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73E6D1F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</w:p>
    <w:p w14:paraId="6B48AEFA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太史公曰：“余（   ）读《离骚》《天问》《招魂》《哀郢》，悲其志。适（      ）长沙，观（    ）屈原所自沉渊（         ），未尝不垂涕，想见其为人（           ）。及见贾生吊（      ）之，又怪（       ）屈原以彼其材（            ）游诸侯，何国不容（                ），而自令若是（                     ）！读《鵩鸟赋》，同死生（                   ），轻去就（         ），又爽然自失（                ）矣。”</w:t>
      </w:r>
    </w:p>
    <w:p w14:paraId="1D0F026D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4CE4548B">
      <w:pPr>
        <w:pStyle w:val="2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5DA0CA3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211" w:firstLineChars="100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21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1"/>
          <w:sz w:val="21"/>
          <w:szCs w:val="21"/>
          <w:lang w:val="en-US" w:eastAsia="zh-CN"/>
        </w:rPr>
        <w:t>课后检测</w:t>
      </w:r>
    </w:p>
    <w:p w14:paraId="4D6C6C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Chars="1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、词类活用:指出下列加点词的活用类型并解释。</w:t>
      </w:r>
    </w:p>
    <w:p w14:paraId="18266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入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则与王图议国事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6B5DB6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2.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出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则接遇宾客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0A98CC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3.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谗谄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之蔽明也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79A162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4.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邪曲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之害公也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26D921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5.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方正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之不容也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06D2A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6.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明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道德之广崇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2516ED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7.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蝉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蜕于浊秽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1F792A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8.惠王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患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之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16D00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9.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厚币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委质事楚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61CFCD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10.时秦昭王与楚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婚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5BE65E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11.莫不欲求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忠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以自为,举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贤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以自佐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5DDBA5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12.故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内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惑于郑袖,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外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欺于张仪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522A21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13.卒使上官大夫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短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屈原于顷襄王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3094F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14.然皆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祖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屈原之从容辞令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673F01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15.其后楚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em w:val="dot"/>
        </w:rPr>
        <w:t>日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以削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ptab w:relativeTo="margin" w:alignment="right" w:leader="none"/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 </w:t>
      </w:r>
    </w:p>
    <w:p w14:paraId="04E878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lang w:val="en-US" w:eastAsia="zh-CN"/>
        </w:rPr>
        <w:t>2、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特殊句式:指出下列句子在句式上的特殊之处并翻译。</w:t>
      </w:r>
    </w:p>
    <w:p w14:paraId="3A52EE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1.夫天者,人之始也;父母者,人之本也。</w:t>
      </w:r>
    </w:p>
    <w:p w14:paraId="0613DE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38D4FF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0A3A4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2.信而见疑,忠而被谤。</w:t>
      </w:r>
    </w:p>
    <w:p w14:paraId="5EEAD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6E50E1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415B6D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3.大破楚师于丹、淅。</w:t>
      </w:r>
    </w:p>
    <w:p w14:paraId="660DF5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241121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00D22E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4.而设诡辩于怀王之宠姬郑袖。</w:t>
      </w:r>
    </w:p>
    <w:p w14:paraId="1269A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66E48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49252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5.莫不欲求忠以自为,举贤以自佐。</w:t>
      </w:r>
    </w:p>
    <w:p w14:paraId="7A69D9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44CA1A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2CDD49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6.故内惑于郑袖,外欺于张仪。</w:t>
      </w:r>
    </w:p>
    <w:p w14:paraId="627430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09AE7A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5091D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7.为天下笑。</w:t>
      </w:r>
    </w:p>
    <w:p w14:paraId="6AC567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338C09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1ADA82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8.是以见放。</w:t>
      </w:r>
    </w:p>
    <w:p w14:paraId="3D838B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32719C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198552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9.人又谁能以身之察察,受物之汶汶者乎?</w:t>
      </w:r>
    </w:p>
    <w:p w14:paraId="49BA97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5845AC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33F276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10.竟为秦所灭。</w:t>
      </w:r>
    </w:p>
    <w:p w14:paraId="0C734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特殊句式: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6C5857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译文: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　　　　　　　　　　　　　　　　　　 </w:t>
      </w:r>
    </w:p>
    <w:p w14:paraId="30CC9C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名句默写:根据提示默写相关句子。</w:t>
      </w:r>
    </w:p>
    <w:p w14:paraId="08AD95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1.(2024新课标Ⅰ)作文课上,房老师使用《屈原列传》中“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”两句话,引导学生描写寻常事物以表示宏大意旨,列举浅近事例来传达深远意蕴。 </w:t>
      </w:r>
    </w:p>
    <w:p w14:paraId="10188E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2.司马迁《屈原列传》中“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”两句,指出屈原痛心于楚怀王被小人之言蒙蔽。 </w:t>
      </w:r>
    </w:p>
    <w:p w14:paraId="1C92D5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3.《屈原列传》中,司马迁认为屈原创作《离骚》的外因除了楚怀王听信谗言、不能明辨是非以外,还有“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”,一针见血地指出了当时朝廷小人当道、正直之人遭到排挤的黑暗现实。 </w:t>
      </w:r>
    </w:p>
    <w:p w14:paraId="7678D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4.《屈原列传》中,司马迁用“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”和“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”两句直接概括了屈原写作《离骚》的缘由。 </w:t>
      </w:r>
    </w:p>
    <w:p w14:paraId="4225BB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5.在《屈原列传》中,司马迁对《诗经》里的《国风》和《小雅》进行评价的句子是“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”。 </w:t>
      </w:r>
    </w:p>
    <w:p w14:paraId="6BF916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6.《屈原列传》中,指出小人离间令屈原处于困厄处境的句子是“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”。 </w:t>
      </w:r>
    </w:p>
    <w:p w14:paraId="4BCE3F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7.在《屈原列传》中,司马迁对屈原的《离骚》评价极高,其中认为其文字简练、用词精到的两句是“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”。 </w:t>
      </w:r>
    </w:p>
    <w:p w14:paraId="585326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8.在《屈原列传》中,司马迁认为屈原作《离骚》的另外一个原因可能是“怨生”,也就是心中有怨气,而导致屈原心中有怨气的直接原因是“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”。 </w:t>
      </w:r>
    </w:p>
    <w:p w14:paraId="4AC869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9.司马迁《屈原列传》中,“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 xml:space="preserve"> ”一句用蝉作比喻,表明屈原远离世俗污浊的高洁品质;“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 xml:space="preserve"> ”一句用日月作比喻,表明屈原志趣的高洁。 </w:t>
      </w:r>
    </w:p>
    <w:p w14:paraId="2B9752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10.屈原在《离骚》中经常用香草美人作比喻,表明自己高洁的品性。关于这一点,司马迁在《屈原列传》中加以解释:“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。” </w:t>
      </w:r>
    </w:p>
    <w:p w14:paraId="772761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11.屈原回答渔父自己“见放”的原因是: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,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  <w:u w:val="single"/>
        </w:rPr>
        <w:t>　　　　　　　　　</w:t>
      </w:r>
      <w:r>
        <w:rPr>
          <w:rFonts w:hint="eastAsia" w:ascii="方正仿宋_GB2312" w:hAnsi="方正仿宋_GB2312" w:eastAsia="方正仿宋_GB2312" w:cs="方正仿宋_GB2312"/>
          <w:kern w:val="21"/>
          <w:sz w:val="21"/>
          <w:szCs w:val="21"/>
        </w:rPr>
        <w:t>。 </w:t>
      </w:r>
    </w:p>
    <w:p w14:paraId="407224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p w14:paraId="7DAFC6E0">
      <w:pPr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22145B2-250C-4A11-A7A4-03C23EEA3F6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7FFFF63-C58F-4D0E-A32F-9C439E7E9E2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EC8A31A-9DE0-4C2B-821E-14290EFB872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E956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4"/>
      <w:rPr>
        <w:rFonts w:hint="eastAsia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横峰中学学生课堂导学训案（语文）编号：hfzx 高二  使用时间:2024-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>12编写人：滕柳懿 审核人：薛红阳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C82797"/>
    <w:multiLevelType w:val="singleLevel"/>
    <w:tmpl w:val="E1C8279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765DF"/>
    <w:rsid w:val="2CD72920"/>
    <w:rsid w:val="4B6834C3"/>
    <w:rsid w:val="5CF765DF"/>
    <w:rsid w:val="648077C0"/>
    <w:rsid w:val="6D07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2252</Words>
  <Characters>2817</Characters>
  <Lines>0</Lines>
  <Paragraphs>0</Paragraphs>
  <TotalTime>0</TotalTime>
  <ScaleCrop>false</ScaleCrop>
  <LinksUpToDate>false</LinksUpToDate>
  <CharactersWithSpaces>4565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2024-11-15T05:47:00Z</dcterms:created>
  <dc:creator>滕柳懿</dc:creator>
  <cp:lastModifiedBy>Administrator</cp:lastModifiedBy>
  <dcterms:modified xsi:type="dcterms:W3CDTF">2024-11-19T01:34:31Z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DD6533771FA14BC58230D286834201FF_11</vt:lpwstr>
  </property>
</Properties>
</file>